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4A804" w14:textId="270E8608" w:rsidR="00E81EDF" w:rsidRPr="005E25BD" w:rsidRDefault="00E81EDF" w:rsidP="005E25BD">
      <w:pPr>
        <w:tabs>
          <w:tab w:val="left" w:pos="495"/>
        </w:tabs>
        <w:jc w:val="both"/>
        <w:rPr>
          <w:rFonts w:asciiTheme="minorHAnsi" w:hAnsiTheme="minorHAnsi"/>
          <w:lang w:val="en-US"/>
        </w:rPr>
      </w:pPr>
    </w:p>
    <w:p w14:paraId="733898F3" w14:textId="77777777" w:rsidR="000C2F48" w:rsidRPr="005E25BD" w:rsidRDefault="000C2F48" w:rsidP="005E25BD">
      <w:pPr>
        <w:tabs>
          <w:tab w:val="left" w:pos="495"/>
        </w:tabs>
        <w:jc w:val="both"/>
        <w:rPr>
          <w:rFonts w:asciiTheme="minorHAnsi" w:hAnsiTheme="minorHAnsi"/>
          <w:lang w:val="en-US"/>
        </w:rPr>
      </w:pPr>
    </w:p>
    <w:p w14:paraId="79011D53" w14:textId="0C9644C3" w:rsidR="00E81EDF" w:rsidRPr="005E25BD" w:rsidRDefault="00E81EDF" w:rsidP="005E25BD">
      <w:pPr>
        <w:tabs>
          <w:tab w:val="left" w:pos="495"/>
        </w:tabs>
        <w:jc w:val="both"/>
        <w:rPr>
          <w:rFonts w:asciiTheme="minorHAnsi" w:hAnsiTheme="minorHAnsi"/>
          <w:b/>
          <w:bCs/>
          <w:sz w:val="28"/>
          <w:szCs w:val="28"/>
        </w:rPr>
      </w:pPr>
      <w:r w:rsidRPr="005E25BD">
        <w:rPr>
          <w:rFonts w:asciiTheme="minorHAnsi" w:hAnsiTheme="minorHAnsi"/>
          <w:b/>
          <w:bCs/>
          <w:sz w:val="28"/>
          <w:szCs w:val="28"/>
        </w:rPr>
        <w:t>FCG Fonders erbjudande och vårt hållbarhet</w:t>
      </w:r>
      <w:r w:rsidR="000658C3" w:rsidRPr="005E25BD">
        <w:rPr>
          <w:rFonts w:asciiTheme="minorHAnsi" w:hAnsiTheme="minorHAnsi"/>
          <w:b/>
          <w:bCs/>
          <w:sz w:val="28"/>
          <w:szCs w:val="28"/>
        </w:rPr>
        <w:t>sarbete</w:t>
      </w:r>
    </w:p>
    <w:p w14:paraId="23C864D6" w14:textId="140B86FD" w:rsidR="00CD2683" w:rsidRPr="005E25BD" w:rsidRDefault="00E81EDF" w:rsidP="005E25BD">
      <w:pPr>
        <w:tabs>
          <w:tab w:val="left" w:pos="495"/>
        </w:tabs>
        <w:jc w:val="both"/>
        <w:rPr>
          <w:rFonts w:asciiTheme="minorHAnsi" w:hAnsiTheme="minorHAnsi"/>
        </w:rPr>
      </w:pPr>
      <w:r w:rsidRPr="005E25BD">
        <w:rPr>
          <w:rFonts w:asciiTheme="minorHAnsi" w:hAnsiTheme="minorHAnsi"/>
        </w:rPr>
        <w:t xml:space="preserve">FCG Fonder bedriver fondverksamhet och förvaltar värdepappersfonder, specialfonder och andra alternativa investeringsfonder. Vår verksamhet grundar sig i affärsidén att bygga en fondverksamhet från grunden med utgångspunkt i den kärnkompetens inom förvaltning, operations, riskhantering och regelefterlevnad som FCG Fonders ägare, styrelse, ledning och medarbetare gemensamt besitter, och sedan erbjuda dessa fondbolagstjänster till marknaden. </w:t>
      </w:r>
      <w:r w:rsidR="00B66654" w:rsidRPr="005E25BD">
        <w:rPr>
          <w:rFonts w:asciiTheme="minorHAnsi" w:hAnsiTheme="minorHAnsi"/>
        </w:rPr>
        <w:t xml:space="preserve">I många fall sker detta genom att FCG Fonder sätter upp eller tar över fonder och därefter, genom uppdragsavtal, lägger ut förvaltningen av fonderna på externa uppdragstagare. </w:t>
      </w:r>
      <w:r w:rsidR="004C3BB6" w:rsidRPr="005E25BD">
        <w:rPr>
          <w:rFonts w:asciiTheme="minorHAnsi" w:hAnsiTheme="minorHAnsi"/>
        </w:rPr>
        <w:t>Genom detta</w:t>
      </w:r>
      <w:r w:rsidRPr="005E25BD">
        <w:rPr>
          <w:rFonts w:asciiTheme="minorHAnsi" w:hAnsiTheme="minorHAnsi"/>
        </w:rPr>
        <w:t xml:space="preserve"> </w:t>
      </w:r>
      <w:r w:rsidR="007C6EB3" w:rsidRPr="005E25BD">
        <w:rPr>
          <w:rFonts w:asciiTheme="minorHAnsi" w:hAnsiTheme="minorHAnsi"/>
        </w:rPr>
        <w:t>upplägg</w:t>
      </w:r>
      <w:r w:rsidRPr="005E25BD">
        <w:rPr>
          <w:rFonts w:asciiTheme="minorHAnsi" w:hAnsiTheme="minorHAnsi"/>
        </w:rPr>
        <w:t xml:space="preserve"> </w:t>
      </w:r>
      <w:r w:rsidR="004C3BB6" w:rsidRPr="005E25BD">
        <w:rPr>
          <w:rFonts w:asciiTheme="minorHAnsi" w:hAnsiTheme="minorHAnsi"/>
        </w:rPr>
        <w:t xml:space="preserve">kan vi </w:t>
      </w:r>
      <w:r w:rsidRPr="005E25BD">
        <w:rPr>
          <w:rFonts w:asciiTheme="minorHAnsi" w:hAnsiTheme="minorHAnsi"/>
        </w:rPr>
        <w:t xml:space="preserve">kanalisera </w:t>
      </w:r>
      <w:r w:rsidR="00AE41DB" w:rsidRPr="005E25BD">
        <w:rPr>
          <w:rFonts w:asciiTheme="minorHAnsi" w:hAnsiTheme="minorHAnsi"/>
        </w:rPr>
        <w:t>våra</w:t>
      </w:r>
      <w:r w:rsidRPr="005E25BD">
        <w:rPr>
          <w:rFonts w:asciiTheme="minorHAnsi" w:hAnsiTheme="minorHAnsi"/>
        </w:rPr>
        <w:t xml:space="preserve"> tjänster till </w:t>
      </w:r>
      <w:r w:rsidR="004C3BB6" w:rsidRPr="005E25BD">
        <w:rPr>
          <w:rFonts w:asciiTheme="minorHAnsi" w:hAnsiTheme="minorHAnsi"/>
        </w:rPr>
        <w:t>företag</w:t>
      </w:r>
      <w:r w:rsidRPr="005E25BD">
        <w:rPr>
          <w:rFonts w:asciiTheme="minorHAnsi" w:hAnsiTheme="minorHAnsi"/>
        </w:rPr>
        <w:t xml:space="preserve">, erbjuda experter som </w:t>
      </w:r>
      <w:r w:rsidR="004C3BB6" w:rsidRPr="005E25BD">
        <w:rPr>
          <w:rFonts w:asciiTheme="minorHAnsi" w:hAnsiTheme="minorHAnsi"/>
        </w:rPr>
        <w:t>ett företag</w:t>
      </w:r>
      <w:r w:rsidRPr="005E25BD">
        <w:rPr>
          <w:rFonts w:asciiTheme="minorHAnsi" w:hAnsiTheme="minorHAnsi"/>
        </w:rPr>
        <w:t xml:space="preserve"> annars kanske inte haft tillgång till, utforma robusta och gemensamma processer för ett flertal förvaltare, och på så sätt underlätta utövandet av tillsyn över dessa och FCG Fonder. FCG Fonder erbjuder</w:t>
      </w:r>
      <w:r w:rsidR="00593A35" w:rsidRPr="005E25BD">
        <w:rPr>
          <w:rFonts w:asciiTheme="minorHAnsi" w:hAnsiTheme="minorHAnsi"/>
        </w:rPr>
        <w:t xml:space="preserve"> vidare,</w:t>
      </w:r>
      <w:r w:rsidRPr="005E25BD">
        <w:rPr>
          <w:rFonts w:asciiTheme="minorHAnsi" w:hAnsiTheme="minorHAnsi"/>
        </w:rPr>
        <w:t xml:space="preserve"> inom ramen för AIF-tillståndet</w:t>
      </w:r>
      <w:r w:rsidR="00593A35" w:rsidRPr="005E25BD">
        <w:rPr>
          <w:rFonts w:asciiTheme="minorHAnsi" w:hAnsiTheme="minorHAnsi"/>
        </w:rPr>
        <w:t xml:space="preserve">, </w:t>
      </w:r>
      <w:r w:rsidRPr="005E25BD">
        <w:rPr>
          <w:rFonts w:asciiTheme="minorHAnsi" w:hAnsiTheme="minorHAnsi"/>
        </w:rPr>
        <w:t xml:space="preserve">att </w:t>
      </w:r>
      <w:r w:rsidR="00593A35" w:rsidRPr="005E25BD">
        <w:rPr>
          <w:rFonts w:asciiTheme="minorHAnsi" w:hAnsiTheme="minorHAnsi"/>
        </w:rPr>
        <w:t>handha</w:t>
      </w:r>
      <w:r w:rsidRPr="005E25BD">
        <w:rPr>
          <w:rFonts w:asciiTheme="minorHAnsi" w:hAnsiTheme="minorHAnsi"/>
        </w:rPr>
        <w:t xml:space="preserve"> funktionen för riskhantering på uppdrag av andra AIF-förvaltare, samt fondadministrationsrelaterade tjänster till andra fondbolag och AIF-förvaltare.</w:t>
      </w:r>
      <w:r w:rsidR="00DF4596" w:rsidRPr="005E25BD">
        <w:rPr>
          <w:rFonts w:asciiTheme="minorHAnsi" w:hAnsiTheme="minorHAnsi"/>
        </w:rPr>
        <w:t xml:space="preserve"> </w:t>
      </w:r>
      <w:r w:rsidR="0055433D" w:rsidRPr="005E25BD">
        <w:rPr>
          <w:rFonts w:asciiTheme="minorHAnsi" w:hAnsiTheme="minorHAnsi"/>
        </w:rPr>
        <w:t xml:space="preserve">Bolaget </w:t>
      </w:r>
      <w:r w:rsidR="00DF4596" w:rsidRPr="005E25BD">
        <w:rPr>
          <w:rFonts w:asciiTheme="minorHAnsi" w:hAnsiTheme="minorHAnsi"/>
        </w:rPr>
        <w:t xml:space="preserve">har även internt </w:t>
      </w:r>
      <w:r w:rsidR="00CD2683" w:rsidRPr="005E25BD">
        <w:rPr>
          <w:rFonts w:asciiTheme="minorHAnsi" w:hAnsiTheme="minorHAnsi"/>
        </w:rPr>
        <w:t>förvaltade fonder.</w:t>
      </w:r>
    </w:p>
    <w:p w14:paraId="4808D0C3" w14:textId="77777777" w:rsidR="00CD2683" w:rsidRPr="005E25BD" w:rsidRDefault="00CD2683" w:rsidP="005E25BD">
      <w:pPr>
        <w:tabs>
          <w:tab w:val="left" w:pos="495"/>
        </w:tabs>
        <w:jc w:val="both"/>
        <w:rPr>
          <w:rFonts w:asciiTheme="minorHAnsi" w:hAnsiTheme="minorHAnsi"/>
        </w:rPr>
      </w:pPr>
    </w:p>
    <w:p w14:paraId="376A79B2" w14:textId="3B2B2B17" w:rsidR="00E81EDF" w:rsidRPr="005E25BD" w:rsidRDefault="00E81EDF" w:rsidP="005E25BD">
      <w:pPr>
        <w:tabs>
          <w:tab w:val="left" w:pos="495"/>
        </w:tabs>
        <w:jc w:val="both"/>
        <w:rPr>
          <w:rFonts w:asciiTheme="minorHAnsi" w:hAnsiTheme="minorHAnsi"/>
        </w:rPr>
      </w:pPr>
      <w:r w:rsidRPr="005E25BD">
        <w:rPr>
          <w:rFonts w:asciiTheme="minorHAnsi" w:hAnsiTheme="minorHAnsi"/>
        </w:rPr>
        <w:t xml:space="preserve">Ur ett hållbarhetsperspektiv innebär vårt verksamhetsupplägg en möjlighet för mindre och medelstora förvaltare att få ta del av vårt hållbarhetsarbete, och få råd och stöd i hur fonderna kan utvecklas och </w:t>
      </w:r>
      <w:r w:rsidR="0055433D" w:rsidRPr="005E25BD">
        <w:rPr>
          <w:rFonts w:asciiTheme="minorHAnsi" w:hAnsiTheme="minorHAnsi"/>
        </w:rPr>
        <w:t>arbeta mot en mer hållbar inriktning</w:t>
      </w:r>
      <w:r w:rsidRPr="005E25BD">
        <w:rPr>
          <w:rFonts w:asciiTheme="minorHAnsi" w:hAnsiTheme="minorHAnsi"/>
        </w:rPr>
        <w:t xml:space="preserve">. Vi erbjuder bland annat </w:t>
      </w:r>
      <w:r w:rsidR="008A220D" w:rsidRPr="005E25BD">
        <w:rPr>
          <w:rFonts w:asciiTheme="minorHAnsi" w:hAnsiTheme="minorHAnsi"/>
        </w:rPr>
        <w:t xml:space="preserve">kunskap </w:t>
      </w:r>
      <w:r w:rsidRPr="005E25BD">
        <w:rPr>
          <w:rFonts w:asciiTheme="minorHAnsi" w:hAnsiTheme="minorHAnsi"/>
        </w:rPr>
        <w:t>inom hållbarhetsregelverken, tillgång till branschföreningars tolkningar av dessa</w:t>
      </w:r>
      <w:r w:rsidR="00123852" w:rsidRPr="005E25BD">
        <w:rPr>
          <w:rFonts w:asciiTheme="minorHAnsi" w:hAnsiTheme="minorHAnsi"/>
        </w:rPr>
        <w:t xml:space="preserve">, framtagande och löpande hantering av </w:t>
      </w:r>
      <w:r w:rsidR="00345440" w:rsidRPr="005E25BD">
        <w:rPr>
          <w:rFonts w:asciiTheme="minorHAnsi" w:hAnsiTheme="minorHAnsi"/>
        </w:rPr>
        <w:t>informationsmaterial</w:t>
      </w:r>
      <w:r w:rsidRPr="005E25BD">
        <w:rPr>
          <w:rFonts w:asciiTheme="minorHAnsi" w:hAnsiTheme="minorHAnsi"/>
        </w:rPr>
        <w:t xml:space="preserve"> och </w:t>
      </w:r>
      <w:r w:rsidR="00175F80" w:rsidRPr="005E25BD">
        <w:rPr>
          <w:rFonts w:asciiTheme="minorHAnsi" w:hAnsiTheme="minorHAnsi"/>
        </w:rPr>
        <w:t>kontinuerlig uppföljning och kontroll</w:t>
      </w:r>
      <w:r w:rsidR="00D27448" w:rsidRPr="005E25BD">
        <w:rPr>
          <w:rFonts w:asciiTheme="minorHAnsi" w:hAnsiTheme="minorHAnsi"/>
        </w:rPr>
        <w:t xml:space="preserve"> av fondernas hållbarhetsarbete</w:t>
      </w:r>
      <w:r w:rsidR="00175F80" w:rsidRPr="005E25BD">
        <w:rPr>
          <w:rFonts w:asciiTheme="minorHAnsi" w:hAnsiTheme="minorHAnsi"/>
        </w:rPr>
        <w:t xml:space="preserve">. </w:t>
      </w:r>
      <w:r w:rsidR="00345440" w:rsidRPr="005E25BD">
        <w:rPr>
          <w:rFonts w:asciiTheme="minorHAnsi" w:hAnsiTheme="minorHAnsi"/>
        </w:rPr>
        <w:t xml:space="preserve">Vi arbetar tillsammans med våra förvaltare för att ta fram och utveckla </w:t>
      </w:r>
      <w:r w:rsidR="00D52E88" w:rsidRPr="005E25BD">
        <w:rPr>
          <w:rFonts w:asciiTheme="minorHAnsi" w:hAnsiTheme="minorHAnsi"/>
        </w:rPr>
        <w:t>ramverk för riskhantering i fonderna och vara behjälp</w:t>
      </w:r>
      <w:r w:rsidR="00FF21FC" w:rsidRPr="005E25BD">
        <w:rPr>
          <w:rFonts w:asciiTheme="minorHAnsi" w:hAnsiTheme="minorHAnsi"/>
        </w:rPr>
        <w:t xml:space="preserve">liga i analys och integrering. </w:t>
      </w:r>
      <w:r w:rsidR="001200F0" w:rsidRPr="005E25BD">
        <w:rPr>
          <w:rFonts w:asciiTheme="minorHAnsi" w:hAnsiTheme="minorHAnsi"/>
        </w:rPr>
        <w:t xml:space="preserve">Datainhämtning och </w:t>
      </w:r>
      <w:r w:rsidR="00CE3A6A" w:rsidRPr="005E25BD">
        <w:rPr>
          <w:rFonts w:asciiTheme="minorHAnsi" w:hAnsiTheme="minorHAnsi"/>
        </w:rPr>
        <w:t>analys</w:t>
      </w:r>
      <w:r w:rsidR="001200F0" w:rsidRPr="005E25BD">
        <w:rPr>
          <w:rFonts w:asciiTheme="minorHAnsi" w:hAnsiTheme="minorHAnsi"/>
        </w:rPr>
        <w:t xml:space="preserve"> </w:t>
      </w:r>
      <w:r w:rsidR="00CE3A6A" w:rsidRPr="005E25BD">
        <w:rPr>
          <w:rFonts w:asciiTheme="minorHAnsi" w:hAnsiTheme="minorHAnsi"/>
        </w:rPr>
        <w:t>baseras på uppgifter från en extern leverantör av hålbarhetsdata</w:t>
      </w:r>
      <w:r w:rsidR="0063652D" w:rsidRPr="005E25BD">
        <w:rPr>
          <w:rFonts w:asciiTheme="minorHAnsi" w:hAnsiTheme="minorHAnsi"/>
        </w:rPr>
        <w:t>.</w:t>
      </w:r>
    </w:p>
    <w:p w14:paraId="440EB769" w14:textId="77777777" w:rsidR="000658C3" w:rsidRPr="005E25BD" w:rsidRDefault="000658C3" w:rsidP="005E25BD">
      <w:pPr>
        <w:tabs>
          <w:tab w:val="left" w:pos="495"/>
        </w:tabs>
        <w:jc w:val="both"/>
        <w:rPr>
          <w:rFonts w:asciiTheme="minorHAnsi" w:hAnsiTheme="minorHAnsi"/>
        </w:rPr>
      </w:pPr>
    </w:p>
    <w:p w14:paraId="12F27EF5" w14:textId="35D37CA3" w:rsidR="000658C3" w:rsidRPr="005E25BD" w:rsidRDefault="00E81EDF" w:rsidP="005E25BD">
      <w:pPr>
        <w:tabs>
          <w:tab w:val="left" w:pos="495"/>
        </w:tabs>
        <w:jc w:val="both"/>
        <w:rPr>
          <w:rFonts w:asciiTheme="minorHAnsi" w:hAnsiTheme="minorHAnsi"/>
          <w:b/>
          <w:bCs/>
        </w:rPr>
      </w:pPr>
      <w:r w:rsidRPr="005E25BD">
        <w:rPr>
          <w:rFonts w:asciiTheme="minorHAnsi" w:hAnsiTheme="minorHAnsi"/>
          <w:b/>
          <w:bCs/>
        </w:rPr>
        <w:t>Hållbarhetsrisker i investeringsbeslutsprocessen</w:t>
      </w:r>
    </w:p>
    <w:p w14:paraId="5636B5BA" w14:textId="4E7FA59C" w:rsidR="00A75166" w:rsidRPr="005E25BD" w:rsidRDefault="008A220D" w:rsidP="005E25BD">
      <w:pPr>
        <w:tabs>
          <w:tab w:val="left" w:pos="495"/>
        </w:tabs>
        <w:jc w:val="both"/>
        <w:rPr>
          <w:rFonts w:asciiTheme="minorHAnsi" w:hAnsiTheme="minorHAnsi" w:cs="Calibri"/>
        </w:rPr>
      </w:pPr>
      <w:r w:rsidRPr="005E25BD">
        <w:rPr>
          <w:rFonts w:asciiTheme="minorHAnsi" w:hAnsiTheme="minorHAnsi" w:cs="Open Sans"/>
          <w:color w:val="222222"/>
          <w:shd w:val="clear" w:color="auto" w:fill="FFFFFF"/>
        </w:rPr>
        <w:t xml:space="preserve">Hållbarhetsrisk innebär enligt SFDR “miljörelaterade, sociala eller styrningsrelaterade händelser eller förhållanden som, om de förverkligas, skulle kunna ha en negativ betydande inverkan på investeringens värde”. </w:t>
      </w:r>
      <w:r w:rsidR="0055433D" w:rsidRPr="005E25BD">
        <w:rPr>
          <w:rFonts w:asciiTheme="minorHAnsi" w:hAnsiTheme="minorHAnsi" w:cs="Calibri"/>
        </w:rPr>
        <w:t>För samtliga bolagets fonder tas hänsyn till hur fonderna, och värdet av investeringarna, påverkas av hållbarhetsrelaterade risker och möjligheter.</w:t>
      </w:r>
    </w:p>
    <w:p w14:paraId="19547A91" w14:textId="12012F1C" w:rsidR="00A23C2F" w:rsidRPr="005E25BD" w:rsidRDefault="00CD2683" w:rsidP="005E25BD">
      <w:pPr>
        <w:tabs>
          <w:tab w:val="left" w:pos="495"/>
        </w:tabs>
        <w:jc w:val="both"/>
        <w:rPr>
          <w:rFonts w:asciiTheme="minorHAnsi" w:hAnsiTheme="minorHAnsi"/>
        </w:rPr>
      </w:pPr>
      <w:r w:rsidRPr="005E25BD">
        <w:rPr>
          <w:rFonts w:asciiTheme="minorHAnsi" w:hAnsiTheme="minorHAnsi"/>
        </w:rPr>
        <w:t>I många fall</w:t>
      </w:r>
      <w:r w:rsidR="00E81EDF" w:rsidRPr="005E25BD">
        <w:rPr>
          <w:rFonts w:asciiTheme="minorHAnsi" w:hAnsiTheme="minorHAnsi"/>
        </w:rPr>
        <w:t xml:space="preserve"> delegerar vi förvaltningen av våra fonder till externa förvaltare. Det innebär att respektive förvaltare själv avgör på vilket sätt hållbarhetsrisker ska </w:t>
      </w:r>
      <w:r w:rsidR="00360BFE" w:rsidRPr="005E25BD">
        <w:rPr>
          <w:rFonts w:asciiTheme="minorHAnsi" w:hAnsiTheme="minorHAnsi"/>
        </w:rPr>
        <w:t>intrigeras och beaktas</w:t>
      </w:r>
      <w:r w:rsidR="00E81EDF" w:rsidRPr="005E25BD">
        <w:rPr>
          <w:rFonts w:asciiTheme="minorHAnsi" w:hAnsiTheme="minorHAnsi"/>
        </w:rPr>
        <w:t>, sett utifrån</w:t>
      </w:r>
      <w:r w:rsidR="00360BFE" w:rsidRPr="005E25BD">
        <w:rPr>
          <w:rFonts w:asciiTheme="minorHAnsi" w:hAnsiTheme="minorHAnsi"/>
        </w:rPr>
        <w:t xml:space="preserve"> fondens placeringsinriktning och </w:t>
      </w:r>
      <w:r w:rsidR="00E81EDF" w:rsidRPr="005E25BD">
        <w:rPr>
          <w:rFonts w:asciiTheme="minorHAnsi" w:hAnsiTheme="minorHAnsi"/>
        </w:rPr>
        <w:t xml:space="preserve">påverkan på fondens avkastning. </w:t>
      </w:r>
      <w:r w:rsidR="00922E66" w:rsidRPr="005E25BD">
        <w:rPr>
          <w:rFonts w:asciiTheme="minorHAnsi" w:hAnsiTheme="minorHAnsi" w:cs="Calibri"/>
        </w:rPr>
        <w:t xml:space="preserve">Fondbolaget följer upp och rapporterar de risker som identifieras i fonderna och hur dessa hanteras. </w:t>
      </w:r>
      <w:r w:rsidR="00E81EDF" w:rsidRPr="005E25BD">
        <w:rPr>
          <w:rFonts w:asciiTheme="minorHAnsi" w:hAnsiTheme="minorHAnsi"/>
        </w:rPr>
        <w:t xml:space="preserve">Vi har ett brett fondutbud som sträcker sig över flera </w:t>
      </w:r>
      <w:r w:rsidR="008A5007" w:rsidRPr="005E25BD">
        <w:rPr>
          <w:rFonts w:asciiTheme="minorHAnsi" w:hAnsiTheme="minorHAnsi"/>
        </w:rPr>
        <w:t>geografiska områden och sektorer</w:t>
      </w:r>
      <w:r w:rsidR="0045345C" w:rsidRPr="005E25BD">
        <w:rPr>
          <w:rFonts w:asciiTheme="minorHAnsi" w:hAnsiTheme="minorHAnsi"/>
        </w:rPr>
        <w:t xml:space="preserve"> med </w:t>
      </w:r>
      <w:r w:rsidR="00E81EDF" w:rsidRPr="005E25BD">
        <w:rPr>
          <w:rFonts w:asciiTheme="minorHAnsi" w:hAnsiTheme="minorHAnsi"/>
        </w:rPr>
        <w:t>olika investeringsstrategier</w:t>
      </w:r>
      <w:r w:rsidR="0045345C" w:rsidRPr="005E25BD">
        <w:rPr>
          <w:rFonts w:asciiTheme="minorHAnsi" w:hAnsiTheme="minorHAnsi"/>
        </w:rPr>
        <w:t>.</w:t>
      </w:r>
    </w:p>
    <w:p w14:paraId="60942076" w14:textId="77777777" w:rsidR="0055433D" w:rsidRPr="005E25BD" w:rsidRDefault="0055433D" w:rsidP="005E25BD">
      <w:pPr>
        <w:tabs>
          <w:tab w:val="left" w:pos="495"/>
        </w:tabs>
        <w:jc w:val="both"/>
        <w:rPr>
          <w:rFonts w:asciiTheme="minorHAnsi" w:hAnsiTheme="minorHAnsi"/>
        </w:rPr>
      </w:pPr>
    </w:p>
    <w:p w14:paraId="21454784" w14:textId="79184807" w:rsidR="00F1052B" w:rsidRPr="005E25BD" w:rsidRDefault="00E81EDF" w:rsidP="29C90FA7">
      <w:pPr>
        <w:jc w:val="both"/>
        <w:rPr>
          <w:rFonts w:eastAsia="HK Grotesk"/>
        </w:rPr>
      </w:pPr>
      <w:r w:rsidRPr="29C90FA7">
        <w:rPr>
          <w:rFonts w:asciiTheme="minorHAnsi" w:hAnsiTheme="minorHAnsi"/>
        </w:rPr>
        <w:t xml:space="preserve">Hållbarhetsarbetet </w:t>
      </w:r>
      <w:r w:rsidR="00457947" w:rsidRPr="29C90FA7">
        <w:rPr>
          <w:rFonts w:asciiTheme="minorHAnsi" w:hAnsiTheme="minorHAnsi"/>
        </w:rPr>
        <w:t xml:space="preserve">och målet för detta arbete </w:t>
      </w:r>
      <w:r w:rsidRPr="29C90FA7">
        <w:rPr>
          <w:rFonts w:asciiTheme="minorHAnsi" w:hAnsiTheme="minorHAnsi"/>
        </w:rPr>
        <w:t>skiljer sig därför åt mellan våra fonder, och det är respektive förvaltares uppgift att integrera hållbarhet på ett sätt som är relevant och värdeskapande för den fond som förvalt</w:t>
      </w:r>
      <w:r w:rsidRPr="29C90FA7">
        <w:rPr>
          <w:rFonts w:eastAsia="HK Grotesk"/>
        </w:rPr>
        <w:t>as.</w:t>
      </w:r>
      <w:r w:rsidR="285702A3" w:rsidRPr="29C90FA7">
        <w:rPr>
          <w:rFonts w:eastAsia="HK Grotesk"/>
        </w:rPr>
        <w:t xml:space="preserve"> Fonderna faller dock alltid in under vårt övergripande hållbarhetsramverk. Förvaltaren måste därför ha en löpande dialog med fondbolaget gällande hållbarhet, för att säkerställa att lämpliga processer och rutiner finns på plats. Förvaltaren ska även medverka i hållbarhetsrelaterad due diligence som fondbolaget genomför.</w:t>
      </w:r>
    </w:p>
    <w:p w14:paraId="39A8F725" w14:textId="27A820CD" w:rsidR="00F1052B" w:rsidRPr="005E25BD" w:rsidRDefault="00F1052B" w:rsidP="29C90FA7">
      <w:pPr>
        <w:tabs>
          <w:tab w:val="left" w:pos="495"/>
        </w:tabs>
        <w:jc w:val="both"/>
        <w:rPr>
          <w:rFonts w:eastAsia="HK Grotesk"/>
        </w:rPr>
      </w:pPr>
    </w:p>
    <w:p w14:paraId="1B69DC46" w14:textId="77777777" w:rsidR="000658C3" w:rsidRPr="005E25BD" w:rsidRDefault="000658C3" w:rsidP="29C90FA7">
      <w:pPr>
        <w:tabs>
          <w:tab w:val="left" w:pos="495"/>
        </w:tabs>
        <w:jc w:val="both"/>
        <w:rPr>
          <w:rFonts w:eastAsia="HK Grotesk"/>
        </w:rPr>
      </w:pPr>
    </w:p>
    <w:p w14:paraId="3625F7DE" w14:textId="40B15C2A" w:rsidR="000658C3" w:rsidRPr="005E25BD" w:rsidRDefault="00457947" w:rsidP="005E25BD">
      <w:pPr>
        <w:tabs>
          <w:tab w:val="left" w:pos="495"/>
        </w:tabs>
        <w:jc w:val="both"/>
        <w:rPr>
          <w:rFonts w:asciiTheme="minorHAnsi" w:hAnsiTheme="minorHAnsi"/>
          <w:b/>
          <w:bCs/>
        </w:rPr>
      </w:pPr>
      <w:r w:rsidRPr="005E25BD">
        <w:rPr>
          <w:rFonts w:asciiTheme="minorHAnsi" w:hAnsiTheme="minorHAnsi"/>
          <w:b/>
          <w:bCs/>
        </w:rPr>
        <w:lastRenderedPageBreak/>
        <w:t>Strategier för att välja bort, välja in och påverka</w:t>
      </w:r>
    </w:p>
    <w:p w14:paraId="5035FD5B" w14:textId="77777777" w:rsidR="00457947" w:rsidRPr="005E25BD" w:rsidRDefault="00457947" w:rsidP="005E25BD">
      <w:pPr>
        <w:tabs>
          <w:tab w:val="left" w:pos="495"/>
        </w:tabs>
        <w:jc w:val="both"/>
        <w:rPr>
          <w:rFonts w:asciiTheme="minorHAnsi" w:hAnsiTheme="minorHAnsi"/>
          <w:b/>
          <w:bCs/>
        </w:rPr>
      </w:pPr>
    </w:p>
    <w:p w14:paraId="0A7F55A1" w14:textId="297FFA1B" w:rsidR="000658C3" w:rsidRPr="005E25BD" w:rsidRDefault="00457947" w:rsidP="005E25BD">
      <w:pPr>
        <w:tabs>
          <w:tab w:val="left" w:pos="495"/>
        </w:tabs>
        <w:jc w:val="both"/>
        <w:rPr>
          <w:rFonts w:asciiTheme="minorHAnsi" w:hAnsiTheme="minorHAnsi"/>
        </w:rPr>
      </w:pPr>
      <w:r w:rsidRPr="005E25BD">
        <w:rPr>
          <w:rFonts w:asciiTheme="minorHAnsi" w:hAnsiTheme="minorHAnsi"/>
        </w:rPr>
        <w:t>I Bolagets fonder används följande strategier för att hantera hållbarhetsrisker och integrera hållbarhetmålen i förvaltningen:</w:t>
      </w:r>
    </w:p>
    <w:p w14:paraId="3C4DF161" w14:textId="77777777" w:rsidR="0055529A" w:rsidRPr="005E25BD" w:rsidRDefault="0055529A" w:rsidP="005E25BD">
      <w:pPr>
        <w:tabs>
          <w:tab w:val="left" w:pos="495"/>
        </w:tabs>
        <w:jc w:val="both"/>
        <w:rPr>
          <w:rFonts w:asciiTheme="minorHAnsi" w:hAnsiTheme="minorHAnsi"/>
        </w:rPr>
      </w:pPr>
    </w:p>
    <w:p w14:paraId="32A797C2" w14:textId="03D2EB5D" w:rsidR="00686B19" w:rsidRPr="005E25BD" w:rsidRDefault="00E81EDF" w:rsidP="005E25BD">
      <w:pPr>
        <w:tabs>
          <w:tab w:val="left" w:pos="495"/>
        </w:tabs>
        <w:jc w:val="both"/>
        <w:rPr>
          <w:rFonts w:asciiTheme="minorHAnsi" w:hAnsiTheme="minorHAnsi"/>
        </w:rPr>
      </w:pPr>
      <w:r w:rsidRPr="005E25BD">
        <w:rPr>
          <w:rFonts w:ascii="Segoe UI Symbol" w:hAnsi="Segoe UI Symbol" w:cs="Segoe UI Symbol"/>
        </w:rPr>
        <w:t>✔</w:t>
      </w:r>
      <w:r w:rsidRPr="005E25BD">
        <w:rPr>
          <w:rFonts w:asciiTheme="minorHAnsi" w:hAnsiTheme="minorHAnsi"/>
        </w:rPr>
        <w:t xml:space="preserve"> att aktivt välja in hållbara investeringar,</w:t>
      </w:r>
    </w:p>
    <w:p w14:paraId="53A7750D" w14:textId="4D9BFCCA" w:rsidR="00686B19" w:rsidRPr="005E25BD" w:rsidRDefault="00E81EDF" w:rsidP="005E25BD">
      <w:pPr>
        <w:tabs>
          <w:tab w:val="left" w:pos="495"/>
        </w:tabs>
        <w:jc w:val="both"/>
        <w:rPr>
          <w:rFonts w:asciiTheme="minorHAnsi" w:hAnsiTheme="minorHAnsi"/>
        </w:rPr>
      </w:pPr>
      <w:r w:rsidRPr="005E25BD">
        <w:rPr>
          <w:rFonts w:ascii="Segoe UI Symbol" w:hAnsi="Segoe UI Symbol" w:cs="Segoe UI Symbol"/>
        </w:rPr>
        <w:t>✖</w:t>
      </w:r>
      <w:r w:rsidR="00686B19" w:rsidRPr="005E25BD">
        <w:rPr>
          <w:rFonts w:asciiTheme="minorHAnsi" w:hAnsiTheme="minorHAnsi" w:cs="Segoe UI Emoji"/>
        </w:rPr>
        <w:t xml:space="preserve"> </w:t>
      </w:r>
      <w:r w:rsidRPr="005E25BD">
        <w:rPr>
          <w:rFonts w:asciiTheme="minorHAnsi" w:hAnsiTheme="minorHAnsi"/>
        </w:rPr>
        <w:t>att aktivt välja bort icke-hållbara investeringar, samt</w:t>
      </w:r>
    </w:p>
    <w:p w14:paraId="69350BCD" w14:textId="743DBF73" w:rsidR="000658C3" w:rsidRPr="005E25BD" w:rsidRDefault="00E81EDF" w:rsidP="005E25BD">
      <w:pPr>
        <w:tabs>
          <w:tab w:val="left" w:pos="495"/>
        </w:tabs>
        <w:jc w:val="both"/>
        <w:rPr>
          <w:rFonts w:asciiTheme="minorHAnsi" w:hAnsiTheme="minorHAnsi" w:cs="Segoe UI Emoji"/>
        </w:rPr>
      </w:pPr>
      <w:r w:rsidRPr="005E25BD">
        <w:rPr>
          <w:rFonts w:asciiTheme="minorHAnsi" w:hAnsiTheme="minorHAnsi"/>
          <w:b/>
          <w:bCs/>
        </w:rPr>
        <w:t>→</w:t>
      </w:r>
      <w:r w:rsidRPr="005E25BD">
        <w:rPr>
          <w:rFonts w:asciiTheme="minorHAnsi" w:hAnsiTheme="minorHAnsi"/>
        </w:rPr>
        <w:t xml:space="preserve"> att påverka portföljbolagen i mer hållbar riktning</w:t>
      </w:r>
    </w:p>
    <w:p w14:paraId="6CEFBE1E" w14:textId="77777777" w:rsidR="000658C3" w:rsidRPr="005E25BD" w:rsidRDefault="000658C3" w:rsidP="005E25BD">
      <w:pPr>
        <w:tabs>
          <w:tab w:val="left" w:pos="495"/>
        </w:tabs>
        <w:jc w:val="both"/>
        <w:rPr>
          <w:rFonts w:asciiTheme="minorHAnsi" w:hAnsiTheme="minorHAnsi"/>
        </w:rPr>
      </w:pPr>
    </w:p>
    <w:p w14:paraId="4F4450BF" w14:textId="7FE69875" w:rsidR="000658C3" w:rsidRPr="005E25BD" w:rsidRDefault="00E81EDF" w:rsidP="005E25BD">
      <w:pPr>
        <w:tabs>
          <w:tab w:val="left" w:pos="495"/>
        </w:tabs>
        <w:jc w:val="both"/>
        <w:rPr>
          <w:rFonts w:asciiTheme="minorHAnsi" w:hAnsiTheme="minorHAnsi"/>
        </w:rPr>
      </w:pPr>
      <w:r w:rsidRPr="005E25BD">
        <w:rPr>
          <w:rFonts w:asciiTheme="minorHAnsi" w:hAnsiTheme="minorHAnsi"/>
        </w:rPr>
        <w:t xml:space="preserve">Genom att välja vilka branscher, sektorer, geografisk omfattning med mera som fonden ska vara exponerad emot, kan hållbarhetsriskerna </w:t>
      </w:r>
      <w:r w:rsidR="00883EE3" w:rsidRPr="005E25BD">
        <w:rPr>
          <w:rFonts w:asciiTheme="minorHAnsi" w:hAnsiTheme="minorHAnsi"/>
        </w:rPr>
        <w:t>minskas</w:t>
      </w:r>
      <w:r w:rsidRPr="005E25BD">
        <w:rPr>
          <w:rFonts w:asciiTheme="minorHAnsi" w:hAnsiTheme="minorHAnsi"/>
        </w:rPr>
        <w:t xml:space="preserve"> på ett naturligt sätt. Förvaltaren kan därefter välja att ytterligare begränsa riskerna genom att aktivt välja in eller välja bort enskilda investeringar på basis av analyser, data eller andra bedömningsmetoder.</w:t>
      </w:r>
    </w:p>
    <w:p w14:paraId="3F1EC288" w14:textId="77777777" w:rsidR="00686B19" w:rsidRPr="005E25BD" w:rsidRDefault="00686B19" w:rsidP="005E25BD">
      <w:pPr>
        <w:tabs>
          <w:tab w:val="left" w:pos="495"/>
        </w:tabs>
        <w:jc w:val="both"/>
        <w:rPr>
          <w:rFonts w:asciiTheme="minorHAnsi" w:hAnsiTheme="minorHAnsi"/>
        </w:rPr>
      </w:pPr>
    </w:p>
    <w:p w14:paraId="7CA9E96C" w14:textId="4C73C01B" w:rsidR="000658C3" w:rsidRPr="005E25BD" w:rsidRDefault="00E81EDF" w:rsidP="005E25BD">
      <w:pPr>
        <w:tabs>
          <w:tab w:val="left" w:pos="495"/>
        </w:tabs>
        <w:jc w:val="both"/>
        <w:rPr>
          <w:rFonts w:asciiTheme="minorHAnsi" w:hAnsiTheme="minorHAnsi"/>
          <w:b/>
          <w:bCs/>
        </w:rPr>
      </w:pPr>
      <w:r w:rsidRPr="005E25BD">
        <w:rPr>
          <w:rFonts w:asciiTheme="minorHAnsi" w:hAnsiTheme="minorHAnsi"/>
          <w:b/>
          <w:bCs/>
        </w:rPr>
        <w:t>Att välja in</w:t>
      </w:r>
      <w:r w:rsidRPr="005E25BD">
        <w:rPr>
          <w:rFonts w:ascii="Segoe UI Symbol" w:hAnsi="Segoe UI Symbol" w:cs="Segoe UI Symbol"/>
          <w:b/>
          <w:bCs/>
        </w:rPr>
        <w:t>✔</w:t>
      </w:r>
    </w:p>
    <w:p w14:paraId="6F952718" w14:textId="387DC919" w:rsidR="000658C3" w:rsidRPr="005E25BD" w:rsidRDefault="00E81EDF" w:rsidP="005E25BD">
      <w:pPr>
        <w:tabs>
          <w:tab w:val="left" w:pos="495"/>
        </w:tabs>
        <w:jc w:val="both"/>
        <w:rPr>
          <w:rFonts w:asciiTheme="minorHAnsi" w:hAnsiTheme="minorHAnsi"/>
        </w:rPr>
      </w:pPr>
      <w:r w:rsidRPr="005E25BD">
        <w:rPr>
          <w:rFonts w:asciiTheme="minorHAnsi" w:hAnsiTheme="minorHAnsi"/>
        </w:rPr>
        <w:t xml:space="preserve">Denna metod går ut på att hitta de bolag, fonder eller kredittagare som bäst passar in i fonden utifrån placeringsinriktningen, för att därefter säkerställa att de även uppfyller de kriterier för hållbarhet som förvaltaren ställt upp. Exempel på sådana kriterier </w:t>
      </w:r>
      <w:r w:rsidR="008C129F">
        <w:rPr>
          <w:rFonts w:asciiTheme="minorHAnsi" w:hAnsiTheme="minorHAnsi"/>
        </w:rPr>
        <w:t xml:space="preserve">är </w:t>
      </w:r>
      <w:r w:rsidR="00185641">
        <w:rPr>
          <w:rFonts w:asciiTheme="minorHAnsi" w:hAnsiTheme="minorHAnsi"/>
        </w:rPr>
        <w:t xml:space="preserve">att </w:t>
      </w:r>
      <w:r w:rsidRPr="005E25BD">
        <w:rPr>
          <w:rFonts w:asciiTheme="minorHAnsi" w:hAnsiTheme="minorHAnsi"/>
        </w:rPr>
        <w:t xml:space="preserve">portföljbolaget </w:t>
      </w:r>
      <w:r w:rsidR="00DB70CB">
        <w:rPr>
          <w:rFonts w:asciiTheme="minorHAnsi" w:hAnsiTheme="minorHAnsi"/>
        </w:rPr>
        <w:t xml:space="preserve">i en fond </w:t>
      </w:r>
      <w:r w:rsidR="00254725">
        <w:rPr>
          <w:rFonts w:asciiTheme="minorHAnsi" w:hAnsiTheme="minorHAnsi"/>
        </w:rPr>
        <w:t xml:space="preserve">som arbetar </w:t>
      </w:r>
      <w:r w:rsidR="006A7DAA">
        <w:rPr>
          <w:rFonts w:asciiTheme="minorHAnsi" w:hAnsiTheme="minorHAnsi"/>
        </w:rPr>
        <w:t>med håll</w:t>
      </w:r>
      <w:r w:rsidR="007B7B95">
        <w:rPr>
          <w:rFonts w:asciiTheme="minorHAnsi" w:hAnsiTheme="minorHAnsi"/>
        </w:rPr>
        <w:t xml:space="preserve">barhet </w:t>
      </w:r>
      <w:r w:rsidRPr="005E25BD">
        <w:rPr>
          <w:rFonts w:asciiTheme="minorHAnsi" w:hAnsiTheme="minorHAnsi"/>
        </w:rPr>
        <w:t xml:space="preserve">måste efterleva internationella konventioner, lagar och överenskommelser såsom FN Global Compact och OECD:s riktlinjer för multinationella företag som rör frågor om miljö, mänskliga rättigheter, arbetsvillkor och affärsetik. Ett annat exempel vid aktieförvaltning är att välja portföljbolag utifrån en ESG-rating som tillhandahålls av </w:t>
      </w:r>
      <w:r w:rsidR="004D4D77" w:rsidRPr="005E25BD">
        <w:rPr>
          <w:rFonts w:asciiTheme="minorHAnsi" w:hAnsiTheme="minorHAnsi"/>
        </w:rPr>
        <w:t>en</w:t>
      </w:r>
      <w:r w:rsidRPr="005E25BD">
        <w:rPr>
          <w:rFonts w:asciiTheme="minorHAnsi" w:hAnsiTheme="minorHAnsi"/>
        </w:rPr>
        <w:t xml:space="preserve"> oberoende aktör. Fondandelsfonder kan tillämpa metoden genom att endast välja in fonder som i sig själva </w:t>
      </w:r>
      <w:r w:rsidR="00A145A3" w:rsidRPr="005E25BD">
        <w:rPr>
          <w:rFonts w:asciiTheme="minorHAnsi" w:hAnsiTheme="minorHAnsi"/>
        </w:rPr>
        <w:t>frä</w:t>
      </w:r>
      <w:r w:rsidR="007F3E4B" w:rsidRPr="005E25BD">
        <w:rPr>
          <w:rFonts w:asciiTheme="minorHAnsi" w:hAnsiTheme="minorHAnsi"/>
        </w:rPr>
        <w:t>m</w:t>
      </w:r>
      <w:r w:rsidR="00A145A3" w:rsidRPr="005E25BD">
        <w:rPr>
          <w:rFonts w:asciiTheme="minorHAnsi" w:hAnsiTheme="minorHAnsi"/>
        </w:rPr>
        <w:t>jar</w:t>
      </w:r>
      <w:r w:rsidR="00915D94" w:rsidRPr="005E25BD">
        <w:rPr>
          <w:rFonts w:asciiTheme="minorHAnsi" w:hAnsiTheme="minorHAnsi"/>
        </w:rPr>
        <w:t xml:space="preserve"> miljörelaterade eller sociala ändamål</w:t>
      </w:r>
      <w:r w:rsidR="00595490" w:rsidRPr="005E25BD">
        <w:rPr>
          <w:rFonts w:asciiTheme="minorHAnsi" w:hAnsiTheme="minorHAnsi"/>
        </w:rPr>
        <w:t>, har hållbara investeringar som mål</w:t>
      </w:r>
      <w:r w:rsidRPr="005E25BD">
        <w:rPr>
          <w:rFonts w:asciiTheme="minorHAnsi" w:hAnsiTheme="minorHAnsi"/>
        </w:rPr>
        <w:t>, eller att de underliggande innehaven i dessa fonder har klassats som hållbara.</w:t>
      </w:r>
    </w:p>
    <w:p w14:paraId="38AE3211" w14:textId="77777777" w:rsidR="000658C3" w:rsidRPr="005E25BD" w:rsidRDefault="000658C3" w:rsidP="005E25BD">
      <w:pPr>
        <w:tabs>
          <w:tab w:val="left" w:pos="495"/>
        </w:tabs>
        <w:jc w:val="both"/>
        <w:rPr>
          <w:rFonts w:asciiTheme="minorHAnsi" w:hAnsiTheme="minorHAnsi"/>
        </w:rPr>
      </w:pPr>
    </w:p>
    <w:p w14:paraId="21F760F2" w14:textId="0F9DB28A" w:rsidR="000658C3" w:rsidRPr="005E25BD" w:rsidRDefault="00E81EDF" w:rsidP="005E25BD">
      <w:pPr>
        <w:tabs>
          <w:tab w:val="left" w:pos="495"/>
        </w:tabs>
        <w:jc w:val="both"/>
        <w:rPr>
          <w:rFonts w:asciiTheme="minorHAnsi" w:hAnsiTheme="minorHAnsi"/>
          <w:b/>
          <w:bCs/>
        </w:rPr>
      </w:pPr>
      <w:r w:rsidRPr="005E25BD">
        <w:rPr>
          <w:rFonts w:asciiTheme="minorHAnsi" w:hAnsiTheme="minorHAnsi"/>
          <w:b/>
          <w:bCs/>
        </w:rPr>
        <w:t xml:space="preserve">Att välja bort </w:t>
      </w:r>
      <w:r w:rsidRPr="005E25BD">
        <w:rPr>
          <w:rFonts w:ascii="Segoe UI Symbol" w:hAnsi="Segoe UI Symbol" w:cs="Segoe UI Symbol"/>
          <w:b/>
          <w:bCs/>
        </w:rPr>
        <w:t>✖</w:t>
      </w:r>
    </w:p>
    <w:p w14:paraId="3264128E" w14:textId="6A954FA9" w:rsidR="000658C3" w:rsidRPr="005E25BD" w:rsidRDefault="00E81EDF" w:rsidP="005E25BD">
      <w:pPr>
        <w:tabs>
          <w:tab w:val="left" w:pos="495"/>
        </w:tabs>
        <w:jc w:val="both"/>
        <w:rPr>
          <w:rFonts w:asciiTheme="minorHAnsi" w:hAnsiTheme="minorHAnsi"/>
        </w:rPr>
      </w:pPr>
      <w:r w:rsidRPr="005E25BD">
        <w:rPr>
          <w:rFonts w:asciiTheme="minorHAnsi" w:hAnsiTheme="minorHAnsi"/>
        </w:rPr>
        <w:t xml:space="preserve">Grunden för att välja bort en investering kan vara av en mängd olika slag. Ofta baseras det på att portföljbolaget, den underliggande fonden, eller kredittagaren ägnar sig åt verksamhet som </w:t>
      </w:r>
      <w:r w:rsidR="005765EA" w:rsidRPr="005E25BD">
        <w:rPr>
          <w:rFonts w:asciiTheme="minorHAnsi" w:hAnsiTheme="minorHAnsi"/>
        </w:rPr>
        <w:t>förvaltaren</w:t>
      </w:r>
      <w:r w:rsidRPr="005E25BD">
        <w:rPr>
          <w:rFonts w:asciiTheme="minorHAnsi" w:hAnsiTheme="minorHAnsi"/>
        </w:rPr>
        <w:t xml:space="preserve"> anser vara skadlig ur ett hållbarhetsperspektiv. Det kan avse både klimatrelaterade aspekter såsom produktion av fossila bränslen (olja, kol och gas) eller miljörisker som produktion eller utvinning av uran, men även avse sociala aspekter såsom tillverkning och distribution av kärnvapen eller andra vapen, tobak eller </w:t>
      </w:r>
      <w:r w:rsidR="000E7AF9" w:rsidRPr="005E25BD">
        <w:rPr>
          <w:rFonts w:asciiTheme="minorHAnsi" w:hAnsiTheme="minorHAnsi"/>
        </w:rPr>
        <w:t>pornografi</w:t>
      </w:r>
      <w:r w:rsidRPr="005E25BD">
        <w:rPr>
          <w:rFonts w:asciiTheme="minorHAnsi" w:hAnsiTheme="minorHAnsi"/>
        </w:rPr>
        <w:t xml:space="preserve"> med mera. Men det är inte bara enskilda investeringar som kan väljas bort, fonder kan även välja att exkludera vissa länder som inte anses uppfylla kraven på mänskliga rättigheter, regler om anti-korruption eller regler mot penningtvätt. Uteslutning sker i dessa fall genom att fonden avstår från att investera i statsobligationer eller andra räntepapper utgivna av staterna.</w:t>
      </w:r>
      <w:r w:rsidR="00CC3E57">
        <w:rPr>
          <w:rFonts w:asciiTheme="minorHAnsi" w:hAnsiTheme="minorHAnsi"/>
        </w:rPr>
        <w:t xml:space="preserve"> </w:t>
      </w:r>
      <w:r w:rsidR="001370A2">
        <w:rPr>
          <w:rFonts w:asciiTheme="minorHAnsi" w:hAnsiTheme="minorHAnsi"/>
        </w:rPr>
        <w:t xml:space="preserve">Förvaltarens utgångspunkt </w:t>
      </w:r>
      <w:r w:rsidR="006553F3">
        <w:rPr>
          <w:rFonts w:asciiTheme="minorHAnsi" w:hAnsiTheme="minorHAnsi"/>
        </w:rPr>
        <w:t xml:space="preserve">för vad som väljs bort </w:t>
      </w:r>
      <w:r w:rsidR="00B14BCD">
        <w:rPr>
          <w:rFonts w:asciiTheme="minorHAnsi" w:hAnsiTheme="minorHAnsi"/>
        </w:rPr>
        <w:t xml:space="preserve">är dock alltid </w:t>
      </w:r>
      <w:r w:rsidR="00CD26E2">
        <w:rPr>
          <w:rFonts w:asciiTheme="minorHAnsi" w:hAnsiTheme="minorHAnsi"/>
        </w:rPr>
        <w:t xml:space="preserve">de minikrav </w:t>
      </w:r>
      <w:r w:rsidR="00C71A44">
        <w:rPr>
          <w:rFonts w:asciiTheme="minorHAnsi" w:hAnsiTheme="minorHAnsi"/>
        </w:rPr>
        <w:t xml:space="preserve">som vi ställt upp </w:t>
      </w:r>
      <w:r w:rsidR="005D1B43">
        <w:rPr>
          <w:rFonts w:asciiTheme="minorHAnsi" w:hAnsiTheme="minorHAnsi"/>
        </w:rPr>
        <w:t xml:space="preserve">för våra fonder </w:t>
      </w:r>
      <w:r w:rsidR="00A9720A">
        <w:rPr>
          <w:rFonts w:asciiTheme="minorHAnsi" w:hAnsiTheme="minorHAnsi"/>
        </w:rPr>
        <w:t xml:space="preserve">som säkerställer </w:t>
      </w:r>
      <w:r w:rsidR="001758B9">
        <w:rPr>
          <w:rFonts w:asciiTheme="minorHAnsi" w:hAnsiTheme="minorHAnsi"/>
        </w:rPr>
        <w:t xml:space="preserve">en grundnivå </w:t>
      </w:r>
      <w:r w:rsidR="008C23E3">
        <w:rPr>
          <w:rFonts w:asciiTheme="minorHAnsi" w:hAnsiTheme="minorHAnsi"/>
        </w:rPr>
        <w:t>för ansvarsfull förvaltning.</w:t>
      </w:r>
    </w:p>
    <w:p w14:paraId="65E975EA" w14:textId="77777777" w:rsidR="000658C3" w:rsidRPr="005E25BD" w:rsidRDefault="000658C3" w:rsidP="005E25BD">
      <w:pPr>
        <w:tabs>
          <w:tab w:val="left" w:pos="495"/>
        </w:tabs>
        <w:jc w:val="both"/>
        <w:rPr>
          <w:rFonts w:asciiTheme="minorHAnsi" w:hAnsiTheme="minorHAnsi"/>
        </w:rPr>
      </w:pPr>
    </w:p>
    <w:p w14:paraId="48AAD432" w14:textId="68104F67" w:rsidR="000658C3" w:rsidRPr="005E25BD" w:rsidRDefault="00E81EDF" w:rsidP="005E25BD">
      <w:pPr>
        <w:tabs>
          <w:tab w:val="left" w:pos="495"/>
        </w:tabs>
        <w:jc w:val="both"/>
        <w:rPr>
          <w:rFonts w:asciiTheme="minorHAnsi" w:hAnsiTheme="minorHAnsi"/>
          <w:b/>
          <w:bCs/>
        </w:rPr>
      </w:pPr>
      <w:r w:rsidRPr="005E25BD">
        <w:rPr>
          <w:rFonts w:asciiTheme="minorHAnsi" w:hAnsiTheme="minorHAnsi"/>
          <w:b/>
          <w:bCs/>
        </w:rPr>
        <w:t>Att påverka →</w:t>
      </w:r>
    </w:p>
    <w:p w14:paraId="7E9335A4" w14:textId="54C30AB8" w:rsidR="000658C3" w:rsidRPr="005E25BD" w:rsidRDefault="00E81EDF" w:rsidP="005E25BD">
      <w:pPr>
        <w:tabs>
          <w:tab w:val="left" w:pos="495"/>
        </w:tabs>
        <w:jc w:val="both"/>
        <w:rPr>
          <w:rFonts w:asciiTheme="minorHAnsi" w:hAnsiTheme="minorHAnsi"/>
        </w:rPr>
      </w:pPr>
      <w:r w:rsidRPr="005E25BD">
        <w:rPr>
          <w:rFonts w:asciiTheme="minorHAnsi" w:hAnsiTheme="minorHAnsi"/>
        </w:rPr>
        <w:t xml:space="preserve">Varje förvaltare har ett ansvar att bevaka väsentliga ägarfrågor i de bolag som fonden har ett innehav i (portföljbolagen). Om en fråga som är relevant för fondens avkastning, eller på annat sätt väsentligen påverkar andelsägarnas intresse, tas upp på en bolagsstämma i ett portföljbolag har förvaltare möjlighet att utöva sitt ägarinflytande genom att rösta. I många fall är dock innehaven för små för att </w:t>
      </w:r>
      <w:r w:rsidRPr="005E25BD">
        <w:rPr>
          <w:rFonts w:asciiTheme="minorHAnsi" w:hAnsiTheme="minorHAnsi"/>
        </w:rPr>
        <w:lastRenderedPageBreak/>
        <w:t>en fondens röst ska få genomslag. Förvaltaren har då en möjlighet att öka sitt inflytande genom att samarbeta med andra aktörer och rösta gemensamt. Ett annat sätt för förvaltaren att utöva sitt inflytande och visa missnöje över portföljbolagets förslag och/eller beslut, är helt enkelt genom att sälja av innehavet. För de av våra fonder som har mer tydlig hållbarhetsinriktning och som har större innehav, kan det även vara aktuellt att genom dialoger med portföljbolagens företrädare försöka påverka beslut i hållbar riktning.</w:t>
      </w:r>
    </w:p>
    <w:p w14:paraId="25BAB571" w14:textId="77777777" w:rsidR="000658C3" w:rsidRPr="005E25BD" w:rsidRDefault="000658C3" w:rsidP="005E25BD">
      <w:pPr>
        <w:tabs>
          <w:tab w:val="left" w:pos="495"/>
        </w:tabs>
        <w:jc w:val="both"/>
        <w:rPr>
          <w:rFonts w:asciiTheme="minorHAnsi" w:hAnsiTheme="minorHAnsi"/>
        </w:rPr>
      </w:pPr>
    </w:p>
    <w:p w14:paraId="5663A293" w14:textId="597F08B0" w:rsidR="000658C3" w:rsidRPr="005E25BD" w:rsidRDefault="00E81EDF" w:rsidP="005E25BD">
      <w:pPr>
        <w:tabs>
          <w:tab w:val="left" w:pos="495"/>
        </w:tabs>
        <w:jc w:val="both"/>
        <w:rPr>
          <w:rFonts w:asciiTheme="minorHAnsi" w:hAnsiTheme="minorHAnsi"/>
        </w:rPr>
      </w:pPr>
      <w:r w:rsidRPr="005E25BD">
        <w:rPr>
          <w:rFonts w:asciiTheme="minorHAnsi" w:hAnsiTheme="minorHAnsi"/>
        </w:rPr>
        <w:t>Mer information om hur varje enskild fond arbetar hittar du i fondens informationsbroschyr under avsnittet om hållbarhet</w:t>
      </w:r>
      <w:r w:rsidR="0047326E" w:rsidRPr="005E25BD">
        <w:rPr>
          <w:rFonts w:asciiTheme="minorHAnsi" w:hAnsiTheme="minorHAnsi"/>
        </w:rPr>
        <w:t xml:space="preserve"> (Annex)</w:t>
      </w:r>
      <w:r w:rsidR="000658C3" w:rsidRPr="005E25BD">
        <w:rPr>
          <w:rFonts w:asciiTheme="minorHAnsi" w:hAnsiTheme="minorHAnsi"/>
        </w:rPr>
        <w:t>.</w:t>
      </w:r>
    </w:p>
    <w:p w14:paraId="6612DEA6" w14:textId="4E75658C" w:rsidR="000658C3" w:rsidRPr="005E25BD" w:rsidRDefault="000658C3" w:rsidP="005E25BD">
      <w:pPr>
        <w:tabs>
          <w:tab w:val="left" w:pos="495"/>
        </w:tabs>
        <w:jc w:val="both"/>
        <w:rPr>
          <w:rFonts w:asciiTheme="minorHAnsi" w:hAnsiTheme="minorHAnsi"/>
        </w:rPr>
      </w:pPr>
    </w:p>
    <w:p w14:paraId="08C57C7D" w14:textId="217B06D1" w:rsidR="00AE0072" w:rsidRPr="005E25BD" w:rsidRDefault="00AE0072" w:rsidP="005E25BD">
      <w:pPr>
        <w:tabs>
          <w:tab w:val="left" w:pos="495"/>
        </w:tabs>
        <w:jc w:val="both"/>
        <w:rPr>
          <w:rFonts w:asciiTheme="minorHAnsi" w:hAnsiTheme="minorHAnsi"/>
          <w:b/>
          <w:bCs/>
        </w:rPr>
      </w:pPr>
      <w:r w:rsidRPr="005E25BD">
        <w:rPr>
          <w:rFonts w:asciiTheme="minorHAnsi" w:hAnsiTheme="minorHAnsi"/>
          <w:b/>
          <w:bCs/>
        </w:rPr>
        <w:t>Huvudsakliga negativa konsekvenser för hållbarhetsfaktorer</w:t>
      </w:r>
    </w:p>
    <w:p w14:paraId="7A2A305A" w14:textId="53608FFA" w:rsidR="00A75166" w:rsidRPr="005E25BD" w:rsidRDefault="00A75166" w:rsidP="005E25BD">
      <w:pPr>
        <w:pStyle w:val="NormalWeb"/>
        <w:spacing w:before="0" w:beforeAutospacing="0" w:after="0" w:afterAutospacing="0"/>
        <w:jc w:val="both"/>
        <w:rPr>
          <w:rFonts w:asciiTheme="minorHAnsi" w:hAnsiTheme="minorHAnsi" w:cs="Calibri"/>
          <w:sz w:val="20"/>
          <w:szCs w:val="20"/>
        </w:rPr>
      </w:pPr>
      <w:r w:rsidRPr="005E25BD">
        <w:rPr>
          <w:rFonts w:asciiTheme="minorHAnsi" w:hAnsiTheme="minorHAnsi" w:cs="Calibri"/>
          <w:sz w:val="20"/>
          <w:szCs w:val="20"/>
        </w:rPr>
        <w:t>Huvudsakliga negativa konsekvenser är en del av SFDR och definieras som: “Negativa, materiella eller sannolika materiella effekter på hållbarhetsfaktorer som orsakas, förvärras av eller är direkt kopplade till investeringsbeslut och rådgivning som utförs av den juridiska personen.” SFDR-ramverket innehåller 14 obligatoriska indikatorer för utsläpp av växthusgaser, biologisk mångfald, vatten, avfall och sociala indikatorer som bör beaktas (comply or explain). Dessutom finns det frivilliga indikatorer: 22 klimatindikatorer och andra miljörelaterade indikatorer samt 24 indikatorer avseende sociala förhållanden och anställda, respekt för mänskliga rättigheter, antikorruption och frågor om mutor.</w:t>
      </w:r>
    </w:p>
    <w:p w14:paraId="5E87E56C" w14:textId="77777777" w:rsidR="00BF5538" w:rsidRPr="005E25BD" w:rsidRDefault="00BF5538" w:rsidP="005E25BD">
      <w:pPr>
        <w:tabs>
          <w:tab w:val="left" w:pos="495"/>
        </w:tabs>
        <w:jc w:val="both"/>
        <w:rPr>
          <w:rFonts w:asciiTheme="minorHAnsi" w:hAnsiTheme="minorHAnsi"/>
        </w:rPr>
      </w:pPr>
    </w:p>
    <w:p w14:paraId="73DBD888" w14:textId="2DAA9781" w:rsidR="000E6F58" w:rsidRPr="008F500D" w:rsidRDefault="00E50683" w:rsidP="005E25BD">
      <w:pPr>
        <w:tabs>
          <w:tab w:val="left" w:pos="495"/>
        </w:tabs>
        <w:jc w:val="both"/>
        <w:rPr>
          <w:rFonts w:asciiTheme="minorHAnsi" w:hAnsiTheme="minorHAnsi"/>
        </w:rPr>
      </w:pPr>
      <w:r w:rsidRPr="005E25BD">
        <w:rPr>
          <w:rFonts w:asciiTheme="minorHAnsi" w:hAnsiTheme="minorHAnsi"/>
        </w:rPr>
        <w:t>I e</w:t>
      </w:r>
      <w:r w:rsidR="004502FB" w:rsidRPr="005E25BD">
        <w:rPr>
          <w:rFonts w:asciiTheme="minorHAnsi" w:hAnsiTheme="minorHAnsi"/>
        </w:rPr>
        <w:t>tt antal av</w:t>
      </w:r>
      <w:r w:rsidR="008A1AFA" w:rsidRPr="005E25BD">
        <w:rPr>
          <w:rFonts w:asciiTheme="minorHAnsi" w:hAnsiTheme="minorHAnsi"/>
        </w:rPr>
        <w:t xml:space="preserve"> fondbolagets fonder </w:t>
      </w:r>
      <w:r w:rsidR="0038639F" w:rsidRPr="005E25BD">
        <w:rPr>
          <w:rFonts w:asciiTheme="minorHAnsi" w:hAnsiTheme="minorHAnsi"/>
        </w:rPr>
        <w:t>beakta</w:t>
      </w:r>
      <w:r w:rsidRPr="005E25BD">
        <w:rPr>
          <w:rFonts w:asciiTheme="minorHAnsi" w:hAnsiTheme="minorHAnsi"/>
        </w:rPr>
        <w:t>s</w:t>
      </w:r>
      <w:r w:rsidR="0038639F" w:rsidRPr="005E25BD">
        <w:rPr>
          <w:rFonts w:asciiTheme="minorHAnsi" w:hAnsiTheme="minorHAnsi"/>
        </w:rPr>
        <w:t xml:space="preserve"> i investeringsbesluts huvudsakliga negativa konsekvenser för </w:t>
      </w:r>
      <w:r w:rsidR="000B574F" w:rsidRPr="005E25BD">
        <w:rPr>
          <w:rFonts w:asciiTheme="minorHAnsi" w:hAnsiTheme="minorHAnsi"/>
        </w:rPr>
        <w:t>hållbarhetsfaktorer</w:t>
      </w:r>
      <w:r w:rsidRPr="005E25BD">
        <w:rPr>
          <w:rFonts w:asciiTheme="minorHAnsi" w:hAnsiTheme="minorHAnsi"/>
        </w:rPr>
        <w:t xml:space="preserve"> i förvaltningen</w:t>
      </w:r>
      <w:r w:rsidR="00AB3BE9" w:rsidRPr="005E25BD">
        <w:rPr>
          <w:rFonts w:asciiTheme="minorHAnsi" w:hAnsiTheme="minorHAnsi"/>
        </w:rPr>
        <w:t xml:space="preserve">, </w:t>
      </w:r>
      <w:r w:rsidR="001977D5">
        <w:rPr>
          <w:rFonts w:asciiTheme="minorHAnsi" w:hAnsiTheme="minorHAnsi"/>
        </w:rPr>
        <w:t xml:space="preserve">och </w:t>
      </w:r>
      <w:r w:rsidR="00AB3BE9" w:rsidRPr="005E25BD">
        <w:rPr>
          <w:rFonts w:asciiTheme="minorHAnsi" w:hAnsiTheme="minorHAnsi"/>
        </w:rPr>
        <w:t>för vissa fonder som en del av prövningen av hållbara investeringar</w:t>
      </w:r>
      <w:r w:rsidR="001977D5">
        <w:rPr>
          <w:rFonts w:asciiTheme="minorHAnsi" w:hAnsiTheme="minorHAnsi"/>
        </w:rPr>
        <w:t>.</w:t>
      </w:r>
      <w:r w:rsidR="000B574F" w:rsidRPr="008F500D">
        <w:rPr>
          <w:rFonts w:asciiTheme="minorHAnsi" w:hAnsiTheme="minorHAnsi"/>
        </w:rPr>
        <w:t xml:space="preserve"> </w:t>
      </w:r>
      <w:r w:rsidR="000773B8" w:rsidRPr="008F500D">
        <w:rPr>
          <w:rFonts w:asciiTheme="minorHAnsi" w:hAnsiTheme="minorHAnsi"/>
        </w:rPr>
        <w:t xml:space="preserve">Genom att löpande följa upp hur </w:t>
      </w:r>
      <w:r w:rsidR="004E301D" w:rsidRPr="008F500D">
        <w:rPr>
          <w:rFonts w:asciiTheme="minorHAnsi" w:hAnsiTheme="minorHAnsi"/>
        </w:rPr>
        <w:t>portfölj</w:t>
      </w:r>
      <w:r w:rsidR="000773B8" w:rsidRPr="008F500D">
        <w:rPr>
          <w:rFonts w:asciiTheme="minorHAnsi" w:hAnsiTheme="minorHAnsi"/>
        </w:rPr>
        <w:t xml:space="preserve">bolagen presterar i förhållande till ett antal indikatorer kan Fondbolaget identifiera </w:t>
      </w:r>
      <w:r w:rsidR="000B574F" w:rsidRPr="008F500D">
        <w:rPr>
          <w:rFonts w:asciiTheme="minorHAnsi" w:hAnsiTheme="minorHAnsi"/>
        </w:rPr>
        <w:t>konsekvenser</w:t>
      </w:r>
      <w:r w:rsidR="00BE2D78" w:rsidRPr="008F500D">
        <w:rPr>
          <w:rFonts w:asciiTheme="minorHAnsi" w:hAnsiTheme="minorHAnsi"/>
        </w:rPr>
        <w:t xml:space="preserve"> på </w:t>
      </w:r>
      <w:r w:rsidR="00472971" w:rsidRPr="008F500D">
        <w:rPr>
          <w:rFonts w:asciiTheme="minorHAnsi" w:hAnsiTheme="minorHAnsi"/>
        </w:rPr>
        <w:t>dessa faktorer</w:t>
      </w:r>
      <w:r w:rsidR="000773B8" w:rsidRPr="008F500D">
        <w:rPr>
          <w:rFonts w:asciiTheme="minorHAnsi" w:hAnsiTheme="minorHAnsi"/>
        </w:rPr>
        <w:t>.</w:t>
      </w:r>
      <w:r w:rsidR="004E301D" w:rsidRPr="008F500D">
        <w:rPr>
          <w:rFonts w:asciiTheme="minorHAnsi" w:hAnsiTheme="minorHAnsi"/>
        </w:rPr>
        <w:t xml:space="preserve"> </w:t>
      </w:r>
      <w:r w:rsidR="00007439" w:rsidRPr="008F500D">
        <w:rPr>
          <w:rFonts w:asciiTheme="minorHAnsi" w:hAnsiTheme="minorHAnsi"/>
        </w:rPr>
        <w:t>Urvalet av indikatorer för huvudsakliga negativa konsekvenser görs</w:t>
      </w:r>
      <w:r w:rsidR="00563CCE" w:rsidRPr="008F500D">
        <w:rPr>
          <w:rFonts w:asciiTheme="minorHAnsi" w:hAnsiTheme="minorHAnsi"/>
        </w:rPr>
        <w:t xml:space="preserve"> utifrån fonden</w:t>
      </w:r>
      <w:r w:rsidR="007B4A2E" w:rsidRPr="008F500D">
        <w:rPr>
          <w:rFonts w:asciiTheme="minorHAnsi" w:hAnsiTheme="minorHAnsi"/>
        </w:rPr>
        <w:t>s placeringsinriktning.</w:t>
      </w:r>
    </w:p>
    <w:p w14:paraId="541C875C" w14:textId="77777777" w:rsidR="007B4A2E" w:rsidRPr="008F500D" w:rsidRDefault="007B4A2E" w:rsidP="005E25BD">
      <w:pPr>
        <w:tabs>
          <w:tab w:val="left" w:pos="495"/>
        </w:tabs>
        <w:jc w:val="both"/>
        <w:rPr>
          <w:rFonts w:asciiTheme="minorHAnsi" w:hAnsiTheme="minorHAnsi"/>
        </w:rPr>
      </w:pPr>
    </w:p>
    <w:p w14:paraId="5080379A" w14:textId="51FE3006" w:rsidR="00055D05" w:rsidRPr="008F500D" w:rsidRDefault="00055D05" w:rsidP="005E25BD">
      <w:pPr>
        <w:tabs>
          <w:tab w:val="left" w:pos="495"/>
        </w:tabs>
        <w:jc w:val="both"/>
        <w:rPr>
          <w:rFonts w:asciiTheme="minorHAnsi" w:hAnsiTheme="minorHAnsi"/>
        </w:rPr>
      </w:pPr>
      <w:r w:rsidRPr="008F500D">
        <w:rPr>
          <w:rFonts w:asciiTheme="minorHAnsi" w:hAnsiTheme="minorHAnsi"/>
        </w:rPr>
        <w:t>Due diligence</w:t>
      </w:r>
      <w:r w:rsidR="00DD7081" w:rsidRPr="008F500D">
        <w:rPr>
          <w:rFonts w:asciiTheme="minorHAnsi" w:hAnsiTheme="minorHAnsi"/>
        </w:rPr>
        <w:t xml:space="preserve"> rutiner som tillämpas </w:t>
      </w:r>
      <w:r w:rsidR="005975D0" w:rsidRPr="008F500D">
        <w:rPr>
          <w:rFonts w:asciiTheme="minorHAnsi" w:hAnsiTheme="minorHAnsi"/>
        </w:rPr>
        <w:t xml:space="preserve">i investeringsprocessen </w:t>
      </w:r>
      <w:r w:rsidR="00E51E2E" w:rsidRPr="008F500D">
        <w:rPr>
          <w:rFonts w:asciiTheme="minorHAnsi" w:hAnsiTheme="minorHAnsi"/>
        </w:rPr>
        <w:t xml:space="preserve">utformas </w:t>
      </w:r>
      <w:r w:rsidR="00DC6D83" w:rsidRPr="008F500D">
        <w:rPr>
          <w:rFonts w:asciiTheme="minorHAnsi" w:hAnsiTheme="minorHAnsi"/>
        </w:rPr>
        <w:t>av respektive förvaltare och skiljer sig åt beroende på vilken förvaltni</w:t>
      </w:r>
      <w:r w:rsidR="005975D0" w:rsidRPr="008F500D">
        <w:rPr>
          <w:rFonts w:asciiTheme="minorHAnsi" w:hAnsiTheme="minorHAnsi"/>
        </w:rPr>
        <w:t>n</w:t>
      </w:r>
      <w:r w:rsidR="00DC6D83" w:rsidRPr="008F500D">
        <w:rPr>
          <w:rFonts w:asciiTheme="minorHAnsi" w:hAnsiTheme="minorHAnsi"/>
        </w:rPr>
        <w:t>gsinriktning det är fråga om</w:t>
      </w:r>
      <w:r w:rsidR="005975D0" w:rsidRPr="008F500D">
        <w:rPr>
          <w:rFonts w:asciiTheme="minorHAnsi" w:hAnsiTheme="minorHAnsi"/>
        </w:rPr>
        <w:t xml:space="preserve"> och på vilket sätt förvaltaren bedriver sitt hållbarhetsarbete</w:t>
      </w:r>
      <w:r w:rsidR="00DC6D83" w:rsidRPr="008F500D">
        <w:rPr>
          <w:rFonts w:asciiTheme="minorHAnsi" w:hAnsiTheme="minorHAnsi"/>
        </w:rPr>
        <w:t>.</w:t>
      </w:r>
    </w:p>
    <w:p w14:paraId="646BAE9A" w14:textId="12163CAA" w:rsidR="00A844D3" w:rsidRPr="008F500D" w:rsidRDefault="00A844D3" w:rsidP="005E25BD">
      <w:pPr>
        <w:tabs>
          <w:tab w:val="left" w:pos="495"/>
        </w:tabs>
        <w:jc w:val="both"/>
        <w:rPr>
          <w:rFonts w:asciiTheme="minorHAnsi" w:hAnsiTheme="minorHAnsi"/>
        </w:rPr>
      </w:pPr>
    </w:p>
    <w:p w14:paraId="5D1F2FF8" w14:textId="79594C1D" w:rsidR="000658C3" w:rsidRPr="008F500D" w:rsidRDefault="000658C3" w:rsidP="005E25BD">
      <w:pPr>
        <w:tabs>
          <w:tab w:val="left" w:pos="495"/>
        </w:tabs>
        <w:jc w:val="both"/>
        <w:rPr>
          <w:rFonts w:asciiTheme="minorHAnsi" w:hAnsiTheme="minorHAnsi"/>
          <w:b/>
          <w:bCs/>
        </w:rPr>
      </w:pPr>
      <w:r w:rsidRPr="008F500D">
        <w:rPr>
          <w:rFonts w:asciiTheme="minorHAnsi" w:hAnsiTheme="minorHAnsi"/>
          <w:b/>
          <w:bCs/>
        </w:rPr>
        <w:t>Åtaganden</w:t>
      </w:r>
    </w:p>
    <w:p w14:paraId="096D2EA6" w14:textId="04830476" w:rsidR="0091407A" w:rsidRPr="005E25BD" w:rsidRDefault="000658C3" w:rsidP="005E25BD">
      <w:pPr>
        <w:tabs>
          <w:tab w:val="left" w:pos="495"/>
        </w:tabs>
        <w:jc w:val="both"/>
        <w:rPr>
          <w:rFonts w:asciiTheme="minorHAnsi" w:hAnsiTheme="minorHAnsi"/>
        </w:rPr>
      </w:pPr>
      <w:r w:rsidRPr="008F500D">
        <w:rPr>
          <w:rFonts w:asciiTheme="minorHAnsi" w:hAnsiTheme="minorHAnsi"/>
        </w:rPr>
        <w:t xml:space="preserve">FCG fonder har i egenskap av </w:t>
      </w:r>
      <w:r w:rsidR="00887995" w:rsidRPr="008F500D">
        <w:rPr>
          <w:rFonts w:asciiTheme="minorHAnsi" w:hAnsiTheme="minorHAnsi"/>
        </w:rPr>
        <w:t>fondbolag</w:t>
      </w:r>
      <w:r w:rsidRPr="008F500D">
        <w:rPr>
          <w:rFonts w:asciiTheme="minorHAnsi" w:hAnsiTheme="minorHAnsi"/>
        </w:rPr>
        <w:t xml:space="preserve"> underte</w:t>
      </w:r>
      <w:r w:rsidR="003F5EC8" w:rsidRPr="008F500D">
        <w:rPr>
          <w:rFonts w:asciiTheme="minorHAnsi" w:hAnsiTheme="minorHAnsi"/>
        </w:rPr>
        <w:t xml:space="preserve">cknat de FN-stödda principerna för ansvarsfulla investeringar (PRI). PRI:s sex principer är vägledande för FCG Fonders sätt att arbeta med sina förvaltare avseende hållbarhetsarbete. </w:t>
      </w:r>
      <w:r w:rsidR="00C26429" w:rsidRPr="008F500D">
        <w:rPr>
          <w:rFonts w:asciiTheme="minorHAnsi" w:hAnsiTheme="minorHAnsi"/>
        </w:rPr>
        <w:t xml:space="preserve">Detta innebär bl.a. att </w:t>
      </w:r>
      <w:r w:rsidR="0047326E" w:rsidRPr="008F500D">
        <w:rPr>
          <w:rFonts w:asciiTheme="minorHAnsi" w:hAnsiTheme="minorHAnsi"/>
        </w:rPr>
        <w:t xml:space="preserve">fondbolaget rapporterar om </w:t>
      </w:r>
      <w:r w:rsidR="001977D5" w:rsidRPr="001977D5">
        <w:rPr>
          <w:rFonts w:asciiTheme="minorHAnsi" w:hAnsiTheme="minorHAnsi"/>
        </w:rPr>
        <w:t>sitt hållbarhetsarbete</w:t>
      </w:r>
      <w:r w:rsidR="0047326E" w:rsidRPr="005E25BD">
        <w:rPr>
          <w:rFonts w:asciiTheme="minorHAnsi" w:hAnsiTheme="minorHAnsi"/>
        </w:rPr>
        <w:t xml:space="preserve"> till UNPRI som också publicerar svaren.</w:t>
      </w:r>
    </w:p>
    <w:p w14:paraId="2DB1B2B5" w14:textId="6F13C6CB" w:rsidR="001D624D" w:rsidRPr="005E25BD" w:rsidRDefault="001D624D" w:rsidP="005E25BD">
      <w:pPr>
        <w:suppressAutoHyphens w:val="0"/>
        <w:autoSpaceDE/>
        <w:autoSpaceDN/>
        <w:adjustRightInd/>
        <w:spacing w:line="240" w:lineRule="auto"/>
        <w:jc w:val="both"/>
        <w:textAlignment w:val="auto"/>
        <w:rPr>
          <w:rFonts w:asciiTheme="minorHAnsi" w:hAnsiTheme="minorHAnsi"/>
        </w:rPr>
      </w:pPr>
    </w:p>
    <w:sectPr w:rsidR="001D624D" w:rsidRPr="005E25BD" w:rsidSect="001D624D">
      <w:footerReference w:type="even" r:id="rId11"/>
      <w:footerReference w:type="default" r:id="rId12"/>
      <w:headerReference w:type="first" r:id="rId13"/>
      <w:footerReference w:type="first" r:id="rId14"/>
      <w:pgSz w:w="11900" w:h="16840"/>
      <w:pgMar w:top="1417" w:right="1417" w:bottom="1417" w:left="141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97982" w14:textId="77777777" w:rsidR="009B2A34" w:rsidRDefault="009B2A34" w:rsidP="002B2C01">
      <w:r>
        <w:separator/>
      </w:r>
    </w:p>
  </w:endnote>
  <w:endnote w:type="continuationSeparator" w:id="0">
    <w:p w14:paraId="0ABFAB82" w14:textId="77777777" w:rsidR="009B2A34" w:rsidRDefault="009B2A34" w:rsidP="002B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K Grotesk">
    <w:panose1 w:val="00000000000000000000"/>
    <w:charset w:val="00"/>
    <w:family w:val="auto"/>
    <w:pitch w:val="variable"/>
    <w:sig w:usb0="A00000FF" w:usb1="4000207B" w:usb2="00000000" w:usb3="00000000" w:csb0="00000193" w:csb1="00000000"/>
    <w:embedRegular r:id="rId1" w:fontKey="{B8EBD463-C785-4F92-9BA3-A2CB014624D2}"/>
    <w:embedBold r:id="rId2" w:fontKey="{C9B7B5A5-23B1-41A6-BF97-0678ABE28121}"/>
    <w:embedItalic r:id="rId3" w:fontKey="{0176740C-CBB0-4802-AC29-2C3ADD2B4D12}"/>
  </w:font>
  <w:font w:name="HK Grotesk SemiBold">
    <w:panose1 w:val="00000000000000000000"/>
    <w:charset w:val="00"/>
    <w:family w:val="auto"/>
    <w:pitch w:val="variable"/>
    <w:sig w:usb0="A00000FF" w:usb1="4000207B" w:usb2="00000000" w:usb3="00000000" w:csb0="00000193" w:csb1="00000000"/>
    <w:embedRegular r:id="rId4" w:fontKey="{32D0D3D1-0D17-4578-A40F-86B492418CA5}"/>
    <w:embedBold r:id="rId5" w:fontKey="{FC3A8FCE-C973-4F32-A0FC-956CC59ECA51}"/>
  </w:font>
  <w:font w:name="Times New Roman (CS-rubriker)">
    <w:altName w:val="Times New Roman"/>
    <w:charset w:val="00"/>
    <w:family w:val="roman"/>
    <w:pitch w:val="default"/>
  </w:font>
  <w:font w:name="HK Grotesk Medium">
    <w:panose1 w:val="00000000000000000000"/>
    <w:charset w:val="00"/>
    <w:family w:val="auto"/>
    <w:pitch w:val="variable"/>
    <w:sig w:usb0="A00000FF" w:usb1="4000207B" w:usb2="00000000" w:usb3="00000000" w:csb0="00000193" w:csb1="00000000"/>
    <w:embedRegular r:id="rId6" w:fontKey="{81AF6AFE-D34D-4E29-9940-A37DA2110692}"/>
  </w:font>
  <w:font w:name="Open Sans">
    <w:charset w:val="00"/>
    <w:family w:val="swiss"/>
    <w:pitch w:val="variable"/>
    <w:sig w:usb0="E00002EF" w:usb1="4000205B" w:usb2="00000028" w:usb3="00000000" w:csb0="0000019F" w:csb1="00000000"/>
    <w:embedRegular r:id="rId7" w:fontKey="{75997ACC-B166-4E85-9971-C2AE6620A531}"/>
  </w:font>
  <w:font w:name="Calibri">
    <w:panose1 w:val="020F0502020204030204"/>
    <w:charset w:val="00"/>
    <w:family w:val="swiss"/>
    <w:pitch w:val="variable"/>
    <w:sig w:usb0="E4002EFF" w:usb1="C000247B" w:usb2="00000009" w:usb3="00000000" w:csb0="000001FF" w:csb1="00000000"/>
    <w:embedRegular r:id="rId8" w:fontKey="{2D8DA791-DE97-46E6-8694-0946D5226134}"/>
  </w:font>
  <w:font w:name="Segoe UI Symbol">
    <w:panose1 w:val="020B0502040204020203"/>
    <w:charset w:val="00"/>
    <w:family w:val="swiss"/>
    <w:pitch w:val="variable"/>
    <w:sig w:usb0="800001E3" w:usb1="1200FFEF" w:usb2="00040000" w:usb3="00000000" w:csb0="00000001" w:csb1="00000000"/>
    <w:embedRegular r:id="rId9" w:fontKey="{2A32BF97-6664-4426-A68F-D3DF781FA24E}"/>
    <w:embedBold r:id="rId10" w:fontKey="{D899CCD3-EA02-47EC-9629-90E68B03FB8F}"/>
  </w:font>
  <w:font w:name="Segoe UI Emoji">
    <w:panose1 w:val="020B0502040204020203"/>
    <w:charset w:val="00"/>
    <w:family w:val="swiss"/>
    <w:pitch w:val="variable"/>
    <w:sig w:usb0="00000003" w:usb1="02000000" w:usb2="00000000" w:usb3="00000000" w:csb0="00000001" w:csb1="00000000"/>
    <w:embedRegular r:id="rId11" w:fontKey="{C476FC62-A786-4A20-BFFF-9B5B975F6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5959718"/>
      <w:docPartObj>
        <w:docPartGallery w:val="Page Numbers (Bottom of Page)"/>
        <w:docPartUnique/>
      </w:docPartObj>
    </w:sdtPr>
    <w:sdtContent>
      <w:p w14:paraId="55DD49AE" w14:textId="60EE44D1" w:rsidR="00B35D08" w:rsidRDefault="00B35D08" w:rsidP="002B2C0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A75166">
          <w:rPr>
            <w:rStyle w:val="PageNumber"/>
            <w:noProof/>
          </w:rPr>
          <w:t>3</w:t>
        </w:r>
        <w:r>
          <w:rPr>
            <w:rStyle w:val="PageNumber"/>
          </w:rPr>
          <w:fldChar w:fldCharType="end"/>
        </w:r>
      </w:p>
    </w:sdtContent>
  </w:sdt>
  <w:p w14:paraId="2560811D" w14:textId="77777777" w:rsidR="00B35D08" w:rsidRDefault="00B35D08" w:rsidP="002B2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D61A" w14:textId="4EB4CED1" w:rsidR="00460C8C" w:rsidRPr="002B2C01" w:rsidRDefault="000A0986" w:rsidP="000A0986">
    <w:pPr>
      <w:pStyle w:val="Fotter"/>
      <w:tabs>
        <w:tab w:val="right" w:pos="9066"/>
      </w:tabs>
      <w:jc w:val="left"/>
    </w:pPr>
    <w:r>
      <w:rPr>
        <w:noProof/>
      </w:rPr>
      <w:drawing>
        <wp:anchor distT="0" distB="0" distL="114300" distR="114300" simplePos="0" relativeHeight="251675648" behindDoc="1" locked="0" layoutInCell="1" allowOverlap="1" wp14:anchorId="11A8310E" wp14:editId="5785EB34">
          <wp:simplePos x="0" y="0"/>
          <wp:positionH relativeFrom="margin">
            <wp:posOffset>5334000</wp:posOffset>
          </wp:positionH>
          <wp:positionV relativeFrom="page">
            <wp:posOffset>9921875</wp:posOffset>
          </wp:positionV>
          <wp:extent cx="926431" cy="400050"/>
          <wp:effectExtent l="0" t="0" r="1270" b="0"/>
          <wp:wrapNone/>
          <wp:docPr id="344980199" name="Bild 34498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6431" cy="4000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96FF" w14:textId="096EF794" w:rsidR="00451B78" w:rsidRDefault="002B2C01" w:rsidP="00451B78">
    <w:pPr>
      <w:pStyle w:val="Fotter"/>
      <w:jc w:val="center"/>
    </w:pPr>
    <w:r w:rsidRPr="00B35D08">
      <w:rPr>
        <w:noProof/>
      </w:rPr>
      <mc:AlternateContent>
        <mc:Choice Requires="wps">
          <w:drawing>
            <wp:anchor distT="0" distB="0" distL="114300" distR="114300" simplePos="0" relativeHeight="251662336" behindDoc="0" locked="0" layoutInCell="1" allowOverlap="1" wp14:anchorId="204CCCE3" wp14:editId="4E82E471">
              <wp:simplePos x="0" y="0"/>
              <wp:positionH relativeFrom="margin">
                <wp:posOffset>1980565</wp:posOffset>
              </wp:positionH>
              <wp:positionV relativeFrom="page">
                <wp:posOffset>9966960</wp:posOffset>
              </wp:positionV>
              <wp:extent cx="2446020" cy="556260"/>
              <wp:effectExtent l="0" t="0" r="11430" b="15240"/>
              <wp:wrapNone/>
              <wp:docPr id="6" name="Textruta 6"/>
              <wp:cNvGraphicFramePr/>
              <a:graphic xmlns:a="http://schemas.openxmlformats.org/drawingml/2006/main">
                <a:graphicData uri="http://schemas.microsoft.com/office/word/2010/wordprocessingShape">
                  <wps:wsp>
                    <wps:cNvSpPr txBox="1"/>
                    <wps:spPr>
                      <a:xfrm>
                        <a:off x="0" y="0"/>
                        <a:ext cx="2446020" cy="556260"/>
                      </a:xfrm>
                      <a:prstGeom prst="rect">
                        <a:avLst/>
                      </a:prstGeom>
                      <a:noFill/>
                      <a:ln w="6350">
                        <a:noFill/>
                      </a:ln>
                    </wps:spPr>
                    <wps:txbx>
                      <w:txbxContent>
                        <w:p w14:paraId="769DE0A9" w14:textId="77777777" w:rsidR="001D624D" w:rsidRPr="008F500D" w:rsidRDefault="003B39BD" w:rsidP="00AB5E26">
                          <w:pPr>
                            <w:pStyle w:val="Fotter"/>
                            <w:spacing w:line="240" w:lineRule="auto"/>
                            <w:jc w:val="center"/>
                            <w:rPr>
                              <w:sz w:val="16"/>
                              <w:szCs w:val="16"/>
                              <w:lang w:val="de-DE"/>
                            </w:rPr>
                          </w:pPr>
                          <w:r w:rsidRPr="008F500D">
                            <w:rPr>
                              <w:sz w:val="16"/>
                              <w:szCs w:val="16"/>
                              <w:lang w:val="de-DE"/>
                            </w:rPr>
                            <w:t>FCG</w:t>
                          </w:r>
                          <w:r w:rsidR="001D624D" w:rsidRPr="008F500D">
                            <w:rPr>
                              <w:sz w:val="16"/>
                              <w:szCs w:val="16"/>
                              <w:lang w:val="de-DE"/>
                            </w:rPr>
                            <w:t xml:space="preserve"> Fonder AB - Org.nr 556939-1617</w:t>
                          </w:r>
                        </w:p>
                        <w:p w14:paraId="74CC3CB4" w14:textId="77777777" w:rsidR="00AB5E26" w:rsidRDefault="001D624D" w:rsidP="00AB5E26">
                          <w:pPr>
                            <w:pStyle w:val="Fotter"/>
                            <w:spacing w:line="240" w:lineRule="auto"/>
                            <w:jc w:val="center"/>
                            <w:rPr>
                              <w:sz w:val="16"/>
                              <w:szCs w:val="16"/>
                            </w:rPr>
                          </w:pPr>
                          <w:r w:rsidRPr="001D624D">
                            <w:rPr>
                              <w:sz w:val="16"/>
                              <w:szCs w:val="16"/>
                            </w:rPr>
                            <w:t>Östermalmstorg</w:t>
                          </w:r>
                          <w:r w:rsidR="003B39BD" w:rsidRPr="001D624D">
                            <w:rPr>
                              <w:sz w:val="16"/>
                              <w:szCs w:val="16"/>
                            </w:rPr>
                            <w:t xml:space="preserve"> 1, 5</w:t>
                          </w:r>
                          <w:r w:rsidRPr="001D624D">
                            <w:rPr>
                              <w:sz w:val="16"/>
                              <w:szCs w:val="16"/>
                            </w:rPr>
                            <w:t xml:space="preserve">tr </w:t>
                          </w:r>
                          <w:r w:rsidR="003B39BD" w:rsidRPr="001D624D">
                            <w:rPr>
                              <w:sz w:val="16"/>
                              <w:szCs w:val="16"/>
                            </w:rPr>
                            <w:t>SE-114 42, S</w:t>
                          </w:r>
                          <w:r w:rsidRPr="001D624D">
                            <w:rPr>
                              <w:sz w:val="16"/>
                              <w:szCs w:val="16"/>
                            </w:rPr>
                            <w:t>tockholm</w:t>
                          </w:r>
                          <w:r w:rsidR="00AB5E26">
                            <w:rPr>
                              <w:sz w:val="16"/>
                              <w:szCs w:val="16"/>
                            </w:rPr>
                            <w:t xml:space="preserve">, </w:t>
                          </w:r>
                        </w:p>
                        <w:p w14:paraId="21C0AFDA" w14:textId="68FCA8B9" w:rsidR="001D624D" w:rsidRPr="001D624D" w:rsidRDefault="001D624D" w:rsidP="00AB5E26">
                          <w:pPr>
                            <w:pStyle w:val="Fotter"/>
                            <w:spacing w:line="240" w:lineRule="auto"/>
                            <w:jc w:val="center"/>
                            <w:rPr>
                              <w:sz w:val="16"/>
                              <w:szCs w:val="16"/>
                            </w:rPr>
                          </w:pPr>
                          <w:r w:rsidRPr="001D624D">
                            <w:rPr>
                              <w:sz w:val="16"/>
                              <w:szCs w:val="16"/>
                            </w:rPr>
                            <w:t>08-</w:t>
                          </w:r>
                          <w:r w:rsidR="00AB5E26">
                            <w:rPr>
                              <w:sz w:val="16"/>
                              <w:szCs w:val="16"/>
                            </w:rPr>
                            <w:t xml:space="preserve">19 18 13 </w:t>
                          </w:r>
                          <w:hyperlink r:id="rId1" w:history="1">
                            <w:r w:rsidR="00AB5E26" w:rsidRPr="00AB5E26">
                              <w:rPr>
                                <w:rStyle w:val="Hyperlink"/>
                                <w:sz w:val="16"/>
                                <w:szCs w:val="16"/>
                              </w:rPr>
                              <w:t>www.fcgfonder.se</w:t>
                            </w:r>
                          </w:hyperlink>
                          <w:r w:rsidRPr="001D624D">
                            <w:rPr>
                              <w:sz w:val="16"/>
                              <w:szCs w:val="16"/>
                            </w:rPr>
                            <w:t xml:space="preserve"> -</w:t>
                          </w:r>
                          <w:r w:rsidR="00AB5E26">
                            <w:rPr>
                              <w:sz w:val="16"/>
                              <w:szCs w:val="16"/>
                            </w:rPr>
                            <w:t>f</w:t>
                          </w:r>
                          <w:r w:rsidRPr="001D624D">
                            <w:rPr>
                              <w:sz w:val="16"/>
                              <w:szCs w:val="16"/>
                            </w:rPr>
                            <w:t>ondadmin@fcg.fonder.se</w:t>
                          </w:r>
                        </w:p>
                        <w:p w14:paraId="78270CCB" w14:textId="77777777" w:rsidR="001D624D" w:rsidRPr="001D624D" w:rsidRDefault="001D624D" w:rsidP="00AB5E26">
                          <w:pPr>
                            <w:pStyle w:val="Fotter"/>
                            <w:spacing w:line="240" w:lineRule="auto"/>
                            <w:jc w:val="center"/>
                            <w:rPr>
                              <w:sz w:val="16"/>
                              <w:szCs w:val="16"/>
                            </w:rPr>
                          </w:pPr>
                        </w:p>
                        <w:p w14:paraId="0D22B658" w14:textId="77777777" w:rsidR="001D624D" w:rsidRPr="001D624D" w:rsidRDefault="001D624D" w:rsidP="00AB5E26">
                          <w:pPr>
                            <w:pStyle w:val="Fotter"/>
                            <w:spacing w:line="240" w:lineRule="auto"/>
                            <w:jc w:val="center"/>
                            <w:rPr>
                              <w:sz w:val="16"/>
                              <w:szCs w:val="16"/>
                            </w:rPr>
                          </w:pPr>
                        </w:p>
                        <w:p w14:paraId="07BA0558" w14:textId="77777777" w:rsidR="001D624D" w:rsidRPr="001D624D" w:rsidRDefault="001D624D" w:rsidP="00AB5E26">
                          <w:pPr>
                            <w:pStyle w:val="Fotter"/>
                            <w:spacing w:line="240" w:lineRule="auto"/>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204CCCE3">
              <v:stroke joinstyle="miter"/>
              <v:path gradientshapeok="t" o:connecttype="rect"/>
            </v:shapetype>
            <v:shape id="Textruta 6" style="position:absolute;left:0;text-align:left;margin-left:155.95pt;margin-top:784.8pt;width:192.6pt;height:4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">
              <v:textbox inset="0,0,0,0">
                <w:txbxContent>
                  <w:p w:rsidRPr="008F500D" w:rsidR="001D624D" w:rsidP="00AB5E26" w:rsidRDefault="003B39BD" w14:paraId="769DE0A9" w14:textId="77777777">
                    <w:pPr>
                      <w:pStyle w:val="Fotter"/>
                      <w:spacing w:line="240" w:lineRule="auto"/>
                      <w:jc w:val="center"/>
                      <w:rPr>
                        <w:sz w:val="16"/>
                        <w:szCs w:val="16"/>
                        <w:lang w:val="de-DE"/>
                      </w:rPr>
                    </w:pPr>
                    <w:r w:rsidRPr="008F500D">
                      <w:rPr>
                        <w:sz w:val="16"/>
                        <w:szCs w:val="16"/>
                        <w:lang w:val="de-DE"/>
                      </w:rPr>
                      <w:t>FCG</w:t>
                    </w:r>
                    <w:r w:rsidRPr="008F500D" w:rsidR="001D624D">
                      <w:rPr>
                        <w:sz w:val="16"/>
                        <w:szCs w:val="16"/>
                        <w:lang w:val="de-DE"/>
                      </w:rPr>
                      <w:t xml:space="preserve"> Fonder AB - Org.nr 556939-1617</w:t>
                    </w:r>
                  </w:p>
                  <w:p w:rsidR="00AB5E26" w:rsidP="00AB5E26" w:rsidRDefault="001D624D" w14:paraId="74CC3CB4" w14:textId="77777777">
                    <w:pPr>
                      <w:pStyle w:val="Fotter"/>
                      <w:spacing w:line="240" w:lineRule="auto"/>
                      <w:jc w:val="center"/>
                      <w:rPr>
                        <w:sz w:val="16"/>
                        <w:szCs w:val="16"/>
                      </w:rPr>
                    </w:pPr>
                    <w:r w:rsidRPr="001D624D">
                      <w:rPr>
                        <w:sz w:val="16"/>
                        <w:szCs w:val="16"/>
                      </w:rPr>
                      <w:t>Östermalmstorg</w:t>
                    </w:r>
                    <w:r w:rsidRPr="001D624D" w:rsidR="003B39BD">
                      <w:rPr>
                        <w:sz w:val="16"/>
                        <w:szCs w:val="16"/>
                      </w:rPr>
                      <w:t xml:space="preserve"> 1, 5</w:t>
                    </w:r>
                    <w:r w:rsidRPr="001D624D">
                      <w:rPr>
                        <w:sz w:val="16"/>
                        <w:szCs w:val="16"/>
                      </w:rPr>
                      <w:t xml:space="preserve">tr </w:t>
                    </w:r>
                    <w:r w:rsidRPr="001D624D" w:rsidR="003B39BD">
                      <w:rPr>
                        <w:sz w:val="16"/>
                        <w:szCs w:val="16"/>
                      </w:rPr>
                      <w:t>SE-114 42, S</w:t>
                    </w:r>
                    <w:r w:rsidRPr="001D624D">
                      <w:rPr>
                        <w:sz w:val="16"/>
                        <w:szCs w:val="16"/>
                      </w:rPr>
                      <w:t>tockholm</w:t>
                    </w:r>
                    <w:r w:rsidR="00AB5E26">
                      <w:rPr>
                        <w:sz w:val="16"/>
                        <w:szCs w:val="16"/>
                      </w:rPr>
                      <w:t xml:space="preserve">, </w:t>
                    </w:r>
                  </w:p>
                  <w:p w:rsidRPr="001D624D" w:rsidR="001D624D" w:rsidP="00AB5E26" w:rsidRDefault="001D624D" w14:paraId="21C0AFDA" w14:textId="68FCA8B9">
                    <w:pPr>
                      <w:pStyle w:val="Fotter"/>
                      <w:spacing w:line="240" w:lineRule="auto"/>
                      <w:jc w:val="center"/>
                      <w:rPr>
                        <w:sz w:val="16"/>
                        <w:szCs w:val="16"/>
                      </w:rPr>
                    </w:pPr>
                    <w:r w:rsidRPr="001D624D">
                      <w:rPr>
                        <w:sz w:val="16"/>
                        <w:szCs w:val="16"/>
                      </w:rPr>
                      <w:t>08-</w:t>
                    </w:r>
                    <w:r w:rsidR="00AB5E26">
                      <w:rPr>
                        <w:sz w:val="16"/>
                        <w:szCs w:val="16"/>
                      </w:rPr>
                      <w:t xml:space="preserve">19 18 13 </w:t>
                    </w:r>
                    <w:hyperlink w:history="1" r:id="rId2">
                      <w:r w:rsidRPr="00AB5E26" w:rsidR="00AB5E26">
                        <w:rPr>
                          <w:rStyle w:val="Hyperlnk"/>
                          <w:sz w:val="16"/>
                          <w:szCs w:val="16"/>
                        </w:rPr>
                        <w:t>www.fcgfonder.se</w:t>
                      </w:r>
                    </w:hyperlink>
                    <w:r w:rsidRPr="001D624D">
                      <w:rPr>
                        <w:sz w:val="16"/>
                        <w:szCs w:val="16"/>
                      </w:rPr>
                      <w:t xml:space="preserve"> -</w:t>
                    </w:r>
                    <w:r w:rsidR="00AB5E26">
                      <w:rPr>
                        <w:sz w:val="16"/>
                        <w:szCs w:val="16"/>
                      </w:rPr>
                      <w:t>f</w:t>
                    </w:r>
                    <w:r w:rsidRPr="001D624D">
                      <w:rPr>
                        <w:sz w:val="16"/>
                        <w:szCs w:val="16"/>
                      </w:rPr>
                      <w:t>ondadmin@fcg.fonder.se</w:t>
                    </w:r>
                  </w:p>
                  <w:p w:rsidRPr="001D624D" w:rsidR="001D624D" w:rsidP="00AB5E26" w:rsidRDefault="001D624D" w14:paraId="78270CCB" w14:textId="77777777">
                    <w:pPr>
                      <w:pStyle w:val="Fotter"/>
                      <w:spacing w:line="240" w:lineRule="auto"/>
                      <w:jc w:val="center"/>
                      <w:rPr>
                        <w:sz w:val="16"/>
                        <w:szCs w:val="16"/>
                      </w:rPr>
                    </w:pPr>
                  </w:p>
                  <w:p w:rsidRPr="001D624D" w:rsidR="001D624D" w:rsidP="00AB5E26" w:rsidRDefault="001D624D" w14:paraId="0D22B658" w14:textId="77777777">
                    <w:pPr>
                      <w:pStyle w:val="Fotter"/>
                      <w:spacing w:line="240" w:lineRule="auto"/>
                      <w:jc w:val="center"/>
                      <w:rPr>
                        <w:sz w:val="16"/>
                        <w:szCs w:val="16"/>
                      </w:rPr>
                    </w:pPr>
                  </w:p>
                  <w:p w:rsidRPr="001D624D" w:rsidR="001D624D" w:rsidP="00AB5E26" w:rsidRDefault="001D624D" w14:paraId="07BA0558" w14:textId="77777777">
                    <w:pPr>
                      <w:pStyle w:val="Fotter"/>
                      <w:spacing w:line="240" w:lineRule="auto"/>
                      <w:jc w:val="center"/>
                      <w:rPr>
                        <w:sz w:val="16"/>
                        <w:szCs w:val="16"/>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ED76C" w14:textId="77777777" w:rsidR="009B2A34" w:rsidRDefault="009B2A34" w:rsidP="002B2C01">
      <w:r>
        <w:separator/>
      </w:r>
    </w:p>
  </w:footnote>
  <w:footnote w:type="continuationSeparator" w:id="0">
    <w:p w14:paraId="7E31B219" w14:textId="77777777" w:rsidR="009B2A34" w:rsidRDefault="009B2A34" w:rsidP="002B2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D67C" w14:textId="29488309" w:rsidR="00460C8C" w:rsidRDefault="00460C8C" w:rsidP="005E25BD">
    <w:pPr>
      <w:pStyle w:val="Header"/>
      <w:tabs>
        <w:tab w:val="clear" w:pos="9072"/>
      </w:tabs>
    </w:pPr>
    <w:r>
      <w:rPr>
        <w:noProof/>
      </w:rPr>
      <w:drawing>
        <wp:anchor distT="0" distB="0" distL="114300" distR="114300" simplePos="0" relativeHeight="251660288" behindDoc="1" locked="0" layoutInCell="1" allowOverlap="1" wp14:anchorId="3DA75E61" wp14:editId="58DC8E52">
          <wp:simplePos x="0" y="0"/>
          <wp:positionH relativeFrom="margin">
            <wp:posOffset>2415511</wp:posOffset>
          </wp:positionH>
          <wp:positionV relativeFrom="page">
            <wp:posOffset>278780</wp:posOffset>
          </wp:positionV>
          <wp:extent cx="926431" cy="400050"/>
          <wp:effectExtent l="0" t="0" r="127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6431" cy="400050"/>
                  </a:xfrm>
                  <a:prstGeom prst="rect">
                    <a:avLst/>
                  </a:prstGeom>
                </pic:spPr>
              </pic:pic>
            </a:graphicData>
          </a:graphic>
          <wp14:sizeRelH relativeFrom="margin">
            <wp14:pctWidth>0</wp14:pctWidth>
          </wp14:sizeRelH>
          <wp14:sizeRelV relativeFrom="margin">
            <wp14:pctHeight>0</wp14:pctHeight>
          </wp14:sizeRelV>
        </wp:anchor>
      </w:drawing>
    </w:r>
    <w:r w:rsidR="000A098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D47B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52A9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0EF4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4264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F4C7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007B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5055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9614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D097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36F2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C0C1C33"/>
    <w:multiLevelType w:val="hybridMultilevel"/>
    <w:tmpl w:val="43963A48"/>
    <w:lvl w:ilvl="0" w:tplc="6FAA3CB4">
      <w:start w:val="1"/>
      <w:numFmt w:val="bullet"/>
      <w:lvlText w:val=""/>
      <w:lvlJc w:val="left"/>
      <w:pPr>
        <w:ind w:left="834" w:hanging="360"/>
      </w:pPr>
      <w:rPr>
        <w:rFonts w:ascii="Symbol" w:hAnsi="Symbol" w:hint="default"/>
      </w:rPr>
    </w:lvl>
    <w:lvl w:ilvl="1" w:tplc="041D0003" w:tentative="1">
      <w:start w:val="1"/>
      <w:numFmt w:val="bullet"/>
      <w:lvlText w:val="o"/>
      <w:lvlJc w:val="left"/>
      <w:pPr>
        <w:ind w:left="1554" w:hanging="360"/>
      </w:pPr>
      <w:rPr>
        <w:rFonts w:ascii="Courier New" w:hAnsi="Courier New" w:cs="Courier New" w:hint="default"/>
      </w:rPr>
    </w:lvl>
    <w:lvl w:ilvl="2" w:tplc="041D0005" w:tentative="1">
      <w:start w:val="1"/>
      <w:numFmt w:val="bullet"/>
      <w:lvlText w:val=""/>
      <w:lvlJc w:val="left"/>
      <w:pPr>
        <w:ind w:left="2274" w:hanging="360"/>
      </w:pPr>
      <w:rPr>
        <w:rFonts w:ascii="Wingdings" w:hAnsi="Wingdings" w:hint="default"/>
      </w:rPr>
    </w:lvl>
    <w:lvl w:ilvl="3" w:tplc="041D0001" w:tentative="1">
      <w:start w:val="1"/>
      <w:numFmt w:val="bullet"/>
      <w:lvlText w:val=""/>
      <w:lvlJc w:val="left"/>
      <w:pPr>
        <w:ind w:left="2994" w:hanging="360"/>
      </w:pPr>
      <w:rPr>
        <w:rFonts w:ascii="Symbol" w:hAnsi="Symbol" w:hint="default"/>
      </w:rPr>
    </w:lvl>
    <w:lvl w:ilvl="4" w:tplc="041D0003" w:tentative="1">
      <w:start w:val="1"/>
      <w:numFmt w:val="bullet"/>
      <w:lvlText w:val="o"/>
      <w:lvlJc w:val="left"/>
      <w:pPr>
        <w:ind w:left="3714" w:hanging="360"/>
      </w:pPr>
      <w:rPr>
        <w:rFonts w:ascii="Courier New" w:hAnsi="Courier New" w:cs="Courier New" w:hint="default"/>
      </w:rPr>
    </w:lvl>
    <w:lvl w:ilvl="5" w:tplc="041D0005" w:tentative="1">
      <w:start w:val="1"/>
      <w:numFmt w:val="bullet"/>
      <w:lvlText w:val=""/>
      <w:lvlJc w:val="left"/>
      <w:pPr>
        <w:ind w:left="4434" w:hanging="360"/>
      </w:pPr>
      <w:rPr>
        <w:rFonts w:ascii="Wingdings" w:hAnsi="Wingdings" w:hint="default"/>
      </w:rPr>
    </w:lvl>
    <w:lvl w:ilvl="6" w:tplc="041D0001" w:tentative="1">
      <w:start w:val="1"/>
      <w:numFmt w:val="bullet"/>
      <w:lvlText w:val=""/>
      <w:lvlJc w:val="left"/>
      <w:pPr>
        <w:ind w:left="5154" w:hanging="360"/>
      </w:pPr>
      <w:rPr>
        <w:rFonts w:ascii="Symbol" w:hAnsi="Symbol" w:hint="default"/>
      </w:rPr>
    </w:lvl>
    <w:lvl w:ilvl="7" w:tplc="041D0003" w:tentative="1">
      <w:start w:val="1"/>
      <w:numFmt w:val="bullet"/>
      <w:lvlText w:val="o"/>
      <w:lvlJc w:val="left"/>
      <w:pPr>
        <w:ind w:left="5874" w:hanging="360"/>
      </w:pPr>
      <w:rPr>
        <w:rFonts w:ascii="Courier New" w:hAnsi="Courier New" w:cs="Courier New" w:hint="default"/>
      </w:rPr>
    </w:lvl>
    <w:lvl w:ilvl="8" w:tplc="041D0005" w:tentative="1">
      <w:start w:val="1"/>
      <w:numFmt w:val="bullet"/>
      <w:lvlText w:val=""/>
      <w:lvlJc w:val="left"/>
      <w:pPr>
        <w:ind w:left="6594" w:hanging="360"/>
      </w:pPr>
      <w:rPr>
        <w:rFonts w:ascii="Wingdings" w:hAnsi="Wingdings" w:hint="default"/>
      </w:rPr>
    </w:lvl>
  </w:abstractNum>
  <w:num w:numId="1" w16cid:durableId="119764334">
    <w:abstractNumId w:val="10"/>
  </w:num>
  <w:num w:numId="2" w16cid:durableId="405028920">
    <w:abstractNumId w:val="4"/>
  </w:num>
  <w:num w:numId="3" w16cid:durableId="1317496340">
    <w:abstractNumId w:val="5"/>
  </w:num>
  <w:num w:numId="4" w16cid:durableId="1924799102">
    <w:abstractNumId w:val="6"/>
  </w:num>
  <w:num w:numId="5" w16cid:durableId="1702701508">
    <w:abstractNumId w:val="7"/>
  </w:num>
  <w:num w:numId="6" w16cid:durableId="1058162884">
    <w:abstractNumId w:val="9"/>
  </w:num>
  <w:num w:numId="7" w16cid:durableId="1103653082">
    <w:abstractNumId w:val="0"/>
  </w:num>
  <w:num w:numId="8" w16cid:durableId="1419134576">
    <w:abstractNumId w:val="1"/>
  </w:num>
  <w:num w:numId="9" w16cid:durableId="1178159584">
    <w:abstractNumId w:val="2"/>
  </w:num>
  <w:num w:numId="10" w16cid:durableId="803885884">
    <w:abstractNumId w:val="3"/>
  </w:num>
  <w:num w:numId="11" w16cid:durableId="8359985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DF"/>
    <w:rsid w:val="00007439"/>
    <w:rsid w:val="00055D05"/>
    <w:rsid w:val="000658C3"/>
    <w:rsid w:val="00071D75"/>
    <w:rsid w:val="000773B8"/>
    <w:rsid w:val="00080F1B"/>
    <w:rsid w:val="00094D60"/>
    <w:rsid w:val="000A0986"/>
    <w:rsid w:val="000B574F"/>
    <w:rsid w:val="000C2F48"/>
    <w:rsid w:val="000E6F58"/>
    <w:rsid w:val="000E7AF9"/>
    <w:rsid w:val="000E7CAF"/>
    <w:rsid w:val="000F2844"/>
    <w:rsid w:val="00100A0C"/>
    <w:rsid w:val="001200F0"/>
    <w:rsid w:val="00123852"/>
    <w:rsid w:val="001370A2"/>
    <w:rsid w:val="00156BCA"/>
    <w:rsid w:val="001758B9"/>
    <w:rsid w:val="00175F80"/>
    <w:rsid w:val="00185641"/>
    <w:rsid w:val="00190F64"/>
    <w:rsid w:val="001977D5"/>
    <w:rsid w:val="001A584E"/>
    <w:rsid w:val="001D624D"/>
    <w:rsid w:val="001F118E"/>
    <w:rsid w:val="00222D69"/>
    <w:rsid w:val="002512EF"/>
    <w:rsid w:val="00254725"/>
    <w:rsid w:val="002714A3"/>
    <w:rsid w:val="00280BD0"/>
    <w:rsid w:val="00290C98"/>
    <w:rsid w:val="00293C03"/>
    <w:rsid w:val="002B2C01"/>
    <w:rsid w:val="002B5542"/>
    <w:rsid w:val="002D5AD6"/>
    <w:rsid w:val="00311F0A"/>
    <w:rsid w:val="00345440"/>
    <w:rsid w:val="00360BFE"/>
    <w:rsid w:val="0038639F"/>
    <w:rsid w:val="00387303"/>
    <w:rsid w:val="003B39BD"/>
    <w:rsid w:val="003F5EC8"/>
    <w:rsid w:val="00434C15"/>
    <w:rsid w:val="004502FB"/>
    <w:rsid w:val="00451B78"/>
    <w:rsid w:val="00451CFA"/>
    <w:rsid w:val="0045345C"/>
    <w:rsid w:val="00457947"/>
    <w:rsid w:val="00460C8C"/>
    <w:rsid w:val="00463643"/>
    <w:rsid w:val="00472971"/>
    <w:rsid w:val="0047326E"/>
    <w:rsid w:val="00492F85"/>
    <w:rsid w:val="004A4FA0"/>
    <w:rsid w:val="004B1E0B"/>
    <w:rsid w:val="004C3BB6"/>
    <w:rsid w:val="004D4D77"/>
    <w:rsid w:val="004E301D"/>
    <w:rsid w:val="00512EE1"/>
    <w:rsid w:val="00516540"/>
    <w:rsid w:val="00520423"/>
    <w:rsid w:val="00524F4F"/>
    <w:rsid w:val="00540969"/>
    <w:rsid w:val="0055433D"/>
    <w:rsid w:val="0055529A"/>
    <w:rsid w:val="00563CCE"/>
    <w:rsid w:val="005765EA"/>
    <w:rsid w:val="00593A35"/>
    <w:rsid w:val="00595490"/>
    <w:rsid w:val="005975D0"/>
    <w:rsid w:val="005A76B9"/>
    <w:rsid w:val="005C677A"/>
    <w:rsid w:val="005C7E8B"/>
    <w:rsid w:val="005D1B43"/>
    <w:rsid w:val="005E25BD"/>
    <w:rsid w:val="005E2BDB"/>
    <w:rsid w:val="005F6C7A"/>
    <w:rsid w:val="00606173"/>
    <w:rsid w:val="00614FE7"/>
    <w:rsid w:val="006209BE"/>
    <w:rsid w:val="00630777"/>
    <w:rsid w:val="0063652D"/>
    <w:rsid w:val="006443BA"/>
    <w:rsid w:val="00651F3B"/>
    <w:rsid w:val="006553F3"/>
    <w:rsid w:val="00673757"/>
    <w:rsid w:val="00686B19"/>
    <w:rsid w:val="006A1B63"/>
    <w:rsid w:val="006A5CB4"/>
    <w:rsid w:val="006A7DAA"/>
    <w:rsid w:val="006B0C93"/>
    <w:rsid w:val="006C6845"/>
    <w:rsid w:val="006D54E7"/>
    <w:rsid w:val="0070179F"/>
    <w:rsid w:val="00713794"/>
    <w:rsid w:val="007B4A2E"/>
    <w:rsid w:val="007B7B95"/>
    <w:rsid w:val="007C6EB3"/>
    <w:rsid w:val="007D79F1"/>
    <w:rsid w:val="007F3E4B"/>
    <w:rsid w:val="00863EDA"/>
    <w:rsid w:val="0086469F"/>
    <w:rsid w:val="00865FC8"/>
    <w:rsid w:val="0087700B"/>
    <w:rsid w:val="00883EE3"/>
    <w:rsid w:val="00887995"/>
    <w:rsid w:val="00890F66"/>
    <w:rsid w:val="008973CC"/>
    <w:rsid w:val="008A1AFA"/>
    <w:rsid w:val="008A220D"/>
    <w:rsid w:val="008A4159"/>
    <w:rsid w:val="008A5007"/>
    <w:rsid w:val="008B2365"/>
    <w:rsid w:val="008C129F"/>
    <w:rsid w:val="008C23E3"/>
    <w:rsid w:val="008F3D51"/>
    <w:rsid w:val="008F500D"/>
    <w:rsid w:val="008F70A8"/>
    <w:rsid w:val="00912102"/>
    <w:rsid w:val="00912AFB"/>
    <w:rsid w:val="00913A5D"/>
    <w:rsid w:val="0091407A"/>
    <w:rsid w:val="00915D94"/>
    <w:rsid w:val="00921D52"/>
    <w:rsid w:val="00922E66"/>
    <w:rsid w:val="0093217A"/>
    <w:rsid w:val="00937BF8"/>
    <w:rsid w:val="009412B1"/>
    <w:rsid w:val="00943E2F"/>
    <w:rsid w:val="00950A21"/>
    <w:rsid w:val="009A034D"/>
    <w:rsid w:val="009B2A34"/>
    <w:rsid w:val="009D7DE4"/>
    <w:rsid w:val="00A145A3"/>
    <w:rsid w:val="00A23C2F"/>
    <w:rsid w:val="00A43F09"/>
    <w:rsid w:val="00A67DAC"/>
    <w:rsid w:val="00A75166"/>
    <w:rsid w:val="00A8343A"/>
    <w:rsid w:val="00A844D3"/>
    <w:rsid w:val="00A9720A"/>
    <w:rsid w:val="00AB3BE9"/>
    <w:rsid w:val="00AB54A4"/>
    <w:rsid w:val="00AB5E26"/>
    <w:rsid w:val="00AC2700"/>
    <w:rsid w:val="00AC5614"/>
    <w:rsid w:val="00AE0072"/>
    <w:rsid w:val="00AE41DB"/>
    <w:rsid w:val="00AE68D9"/>
    <w:rsid w:val="00AF3F3F"/>
    <w:rsid w:val="00B14BCD"/>
    <w:rsid w:val="00B32405"/>
    <w:rsid w:val="00B35D08"/>
    <w:rsid w:val="00B64FDE"/>
    <w:rsid w:val="00B66654"/>
    <w:rsid w:val="00BD6E9B"/>
    <w:rsid w:val="00BE2D78"/>
    <w:rsid w:val="00BF4FF9"/>
    <w:rsid w:val="00BF5538"/>
    <w:rsid w:val="00C233FB"/>
    <w:rsid w:val="00C26429"/>
    <w:rsid w:val="00C6435E"/>
    <w:rsid w:val="00C64ADB"/>
    <w:rsid w:val="00C66CF0"/>
    <w:rsid w:val="00C71A44"/>
    <w:rsid w:val="00CA4E6B"/>
    <w:rsid w:val="00CC0BBA"/>
    <w:rsid w:val="00CC3E57"/>
    <w:rsid w:val="00CC7A98"/>
    <w:rsid w:val="00CD2683"/>
    <w:rsid w:val="00CD26E2"/>
    <w:rsid w:val="00CD6A59"/>
    <w:rsid w:val="00CE3A6A"/>
    <w:rsid w:val="00D27448"/>
    <w:rsid w:val="00D41653"/>
    <w:rsid w:val="00D52E88"/>
    <w:rsid w:val="00D80417"/>
    <w:rsid w:val="00D951B8"/>
    <w:rsid w:val="00DB70CB"/>
    <w:rsid w:val="00DC6D83"/>
    <w:rsid w:val="00DD7081"/>
    <w:rsid w:val="00DF4596"/>
    <w:rsid w:val="00E26A25"/>
    <w:rsid w:val="00E35A38"/>
    <w:rsid w:val="00E50683"/>
    <w:rsid w:val="00E51E2E"/>
    <w:rsid w:val="00E559BE"/>
    <w:rsid w:val="00E70B89"/>
    <w:rsid w:val="00E81857"/>
    <w:rsid w:val="00E81EDF"/>
    <w:rsid w:val="00E87F1D"/>
    <w:rsid w:val="00F043BC"/>
    <w:rsid w:val="00F1052B"/>
    <w:rsid w:val="00F11E4A"/>
    <w:rsid w:val="00F12BA6"/>
    <w:rsid w:val="00F310C8"/>
    <w:rsid w:val="00F80E12"/>
    <w:rsid w:val="00FA7DFF"/>
    <w:rsid w:val="00FE0ACA"/>
    <w:rsid w:val="00FF21FC"/>
    <w:rsid w:val="285702A3"/>
    <w:rsid w:val="29C90FA7"/>
    <w:rsid w:val="51B667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019F5"/>
  <w15:chartTrackingRefBased/>
  <w15:docId w15:val="{6DC8E246-E7B9-426A-823C-DB21127C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C01"/>
    <w:pPr>
      <w:suppressAutoHyphens/>
      <w:autoSpaceDE w:val="0"/>
      <w:autoSpaceDN w:val="0"/>
      <w:adjustRightInd w:val="0"/>
      <w:spacing w:line="288" w:lineRule="auto"/>
      <w:textAlignment w:val="center"/>
    </w:pPr>
    <w:rPr>
      <w:rFonts w:ascii="HK Grotesk" w:hAnsi="HK Grotesk" w:cs="HK Grotesk"/>
      <w:color w:val="000000"/>
      <w:sz w:val="20"/>
      <w:szCs w:val="20"/>
    </w:rPr>
  </w:style>
  <w:style w:type="paragraph" w:styleId="Heading1">
    <w:name w:val="heading 1"/>
    <w:aliases w:val="Title"/>
    <w:basedOn w:val="Title"/>
    <w:next w:val="Title"/>
    <w:link w:val="Heading1Char"/>
    <w:uiPriority w:val="9"/>
    <w:qFormat/>
    <w:rsid w:val="00630777"/>
    <w:pPr>
      <w:spacing w:line="216" w:lineRule="auto"/>
      <w:outlineLvl w:val="0"/>
    </w:pPr>
    <w:rPr>
      <w:rFonts w:ascii="HK Grotesk SemiBold" w:hAnsi="HK Grotesk SemiBold"/>
      <w:sz w:val="80"/>
    </w:rPr>
  </w:style>
  <w:style w:type="paragraph" w:styleId="Heading2">
    <w:name w:val="heading 2"/>
    <w:next w:val="Normal"/>
    <w:link w:val="Heading2Char"/>
    <w:uiPriority w:val="9"/>
    <w:unhideWhenUsed/>
    <w:qFormat/>
    <w:rsid w:val="008F3D51"/>
    <w:pPr>
      <w:keepNext/>
      <w:keepLines/>
      <w:spacing w:before="40"/>
      <w:outlineLvl w:val="1"/>
    </w:pPr>
    <w:rPr>
      <w:rFonts w:ascii="HK Grotesk SemiBold" w:eastAsiaTheme="majorEastAsia" w:hAnsi="HK Grotesk SemiBold" w:cstheme="majorBidi"/>
      <w:b/>
      <w:sz w:val="40"/>
      <w:szCs w:val="26"/>
    </w:rPr>
  </w:style>
  <w:style w:type="paragraph" w:styleId="Heading3">
    <w:name w:val="heading 3"/>
    <w:basedOn w:val="Normal"/>
    <w:next w:val="Normal"/>
    <w:link w:val="Heading3Char"/>
    <w:uiPriority w:val="9"/>
    <w:unhideWhenUsed/>
    <w:qFormat/>
    <w:rsid w:val="00190F64"/>
    <w:pPr>
      <w:keepNext/>
      <w:keepLines/>
      <w:spacing w:before="40"/>
      <w:outlineLvl w:val="2"/>
    </w:pPr>
    <w:rPr>
      <w:rFonts w:ascii="HK Grotesk SemiBold" w:eastAsiaTheme="majorEastAsia" w:hAnsi="HK Grotesk SemiBold" w:cstheme="majorBidi"/>
      <w:sz w:val="24"/>
    </w:rPr>
  </w:style>
  <w:style w:type="paragraph" w:styleId="Heading4">
    <w:name w:val="heading 4"/>
    <w:basedOn w:val="Normal"/>
    <w:next w:val="Normal"/>
    <w:link w:val="Heading4Char"/>
    <w:uiPriority w:val="9"/>
    <w:unhideWhenUsed/>
    <w:qFormat/>
    <w:rsid w:val="00950A21"/>
    <w:pPr>
      <w:keepNext/>
      <w:keepLines/>
      <w:spacing w:before="40"/>
      <w:outlineLvl w:val="3"/>
    </w:pPr>
    <w:rPr>
      <w:rFonts w:eastAsiaTheme="majorEastAsia" w:cs="Times New Roman (CS-rubriker)"/>
      <w:b/>
      <w:bCs/>
      <w:caps/>
    </w:rPr>
  </w:style>
  <w:style w:type="paragraph" w:styleId="Heading5">
    <w:name w:val="heading 5"/>
    <w:basedOn w:val="Normal"/>
    <w:next w:val="Normal"/>
    <w:link w:val="Heading5Char"/>
    <w:uiPriority w:val="9"/>
    <w:semiHidden/>
    <w:unhideWhenUsed/>
    <w:rsid w:val="00094D60"/>
    <w:pPr>
      <w:keepNext/>
      <w:keepLines/>
      <w:spacing w:before="40"/>
      <w:outlineLvl w:val="4"/>
    </w:pPr>
    <w:rPr>
      <w:rFonts w:asciiTheme="majorHAnsi" w:eastAsiaTheme="majorEastAsia" w:hAnsiTheme="majorHAnsi" w:cstheme="majorBidi"/>
      <w:color w:val="081D3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C8C"/>
    <w:pPr>
      <w:tabs>
        <w:tab w:val="center" w:pos="4536"/>
        <w:tab w:val="right" w:pos="9072"/>
      </w:tabs>
    </w:pPr>
  </w:style>
  <w:style w:type="character" w:customStyle="1" w:styleId="HeaderChar">
    <w:name w:val="Header Char"/>
    <w:basedOn w:val="DefaultParagraphFont"/>
    <w:link w:val="Header"/>
    <w:uiPriority w:val="99"/>
    <w:rsid w:val="00460C8C"/>
  </w:style>
  <w:style w:type="paragraph" w:styleId="Footer">
    <w:name w:val="footer"/>
    <w:basedOn w:val="Normal"/>
    <w:link w:val="FooterChar"/>
    <w:uiPriority w:val="99"/>
    <w:unhideWhenUsed/>
    <w:rsid w:val="00460C8C"/>
    <w:pPr>
      <w:tabs>
        <w:tab w:val="center" w:pos="4536"/>
        <w:tab w:val="right" w:pos="9072"/>
      </w:tabs>
    </w:pPr>
  </w:style>
  <w:style w:type="character" w:customStyle="1" w:styleId="FooterChar">
    <w:name w:val="Footer Char"/>
    <w:basedOn w:val="DefaultParagraphFont"/>
    <w:link w:val="Footer"/>
    <w:uiPriority w:val="99"/>
    <w:rsid w:val="00460C8C"/>
  </w:style>
  <w:style w:type="character" w:styleId="PageNumber">
    <w:name w:val="page number"/>
    <w:basedOn w:val="DefaultParagraphFont"/>
    <w:uiPriority w:val="99"/>
    <w:semiHidden/>
    <w:unhideWhenUsed/>
    <w:rsid w:val="00CC0BBA"/>
  </w:style>
  <w:style w:type="paragraph" w:styleId="Quote">
    <w:name w:val="Quote"/>
    <w:basedOn w:val="Normal"/>
    <w:next w:val="Normal"/>
    <w:link w:val="QuoteChar"/>
    <w:uiPriority w:val="29"/>
    <w:qFormat/>
    <w:rsid w:val="00E87F1D"/>
    <w:pPr>
      <w:spacing w:before="200" w:after="160"/>
      <w:ind w:left="426" w:right="864" w:firstLine="13"/>
    </w:pPr>
    <w:rPr>
      <w:i/>
      <w:iCs/>
      <w:color w:val="4E4E4E" w:themeColor="text1" w:themeTint="BF"/>
    </w:rPr>
  </w:style>
  <w:style w:type="character" w:customStyle="1" w:styleId="QuoteChar">
    <w:name w:val="Quote Char"/>
    <w:basedOn w:val="DefaultParagraphFont"/>
    <w:link w:val="Quote"/>
    <w:uiPriority w:val="29"/>
    <w:rsid w:val="00E87F1D"/>
    <w:rPr>
      <w:rFonts w:ascii="HK Grotesk" w:hAnsi="HK Grotesk" w:cs="HK Grotesk"/>
      <w:i/>
      <w:iCs/>
      <w:color w:val="4E4E4E" w:themeColor="text1" w:themeTint="BF"/>
      <w:sz w:val="20"/>
      <w:szCs w:val="20"/>
    </w:rPr>
  </w:style>
  <w:style w:type="character" w:customStyle="1" w:styleId="Heading2Char">
    <w:name w:val="Heading 2 Char"/>
    <w:basedOn w:val="DefaultParagraphFont"/>
    <w:link w:val="Heading2"/>
    <w:uiPriority w:val="9"/>
    <w:rsid w:val="008F3D51"/>
    <w:rPr>
      <w:rFonts w:ascii="HK Grotesk SemiBold" w:eastAsiaTheme="majorEastAsia" w:hAnsi="HK Grotesk SemiBold" w:cstheme="majorBidi"/>
      <w:b/>
      <w:sz w:val="40"/>
      <w:szCs w:val="26"/>
    </w:rPr>
  </w:style>
  <w:style w:type="paragraph" w:customStyle="1" w:styleId="Ingress">
    <w:name w:val="Ingress"/>
    <w:basedOn w:val="Normal"/>
    <w:next w:val="Normal"/>
    <w:qFormat/>
    <w:rsid w:val="00190F64"/>
    <w:pPr>
      <w:spacing w:line="240" w:lineRule="auto"/>
    </w:pPr>
    <w:rPr>
      <w:rFonts w:ascii="HK Grotesk Medium" w:hAnsi="HK Grotesk Medium" w:cs="HK Grotesk Medium"/>
      <w:sz w:val="26"/>
      <w:szCs w:val="26"/>
    </w:rPr>
  </w:style>
  <w:style w:type="character" w:customStyle="1" w:styleId="Heading3Char">
    <w:name w:val="Heading 3 Char"/>
    <w:basedOn w:val="DefaultParagraphFont"/>
    <w:link w:val="Heading3"/>
    <w:uiPriority w:val="9"/>
    <w:rsid w:val="00190F64"/>
    <w:rPr>
      <w:rFonts w:ascii="HK Grotesk SemiBold" w:eastAsiaTheme="majorEastAsia" w:hAnsi="HK Grotesk SemiBold" w:cstheme="majorBidi"/>
    </w:rPr>
  </w:style>
  <w:style w:type="character" w:customStyle="1" w:styleId="Heading5Char">
    <w:name w:val="Heading 5 Char"/>
    <w:basedOn w:val="DefaultParagraphFont"/>
    <w:link w:val="Heading5"/>
    <w:uiPriority w:val="9"/>
    <w:semiHidden/>
    <w:rsid w:val="00094D60"/>
    <w:rPr>
      <w:rFonts w:asciiTheme="majorHAnsi" w:eastAsiaTheme="majorEastAsia" w:hAnsiTheme="majorHAnsi" w:cstheme="majorBidi"/>
      <w:color w:val="081D35" w:themeColor="accent1" w:themeShade="BF"/>
      <w:sz w:val="20"/>
      <w:szCs w:val="20"/>
    </w:rPr>
  </w:style>
  <w:style w:type="paragraph" w:styleId="ListBullet">
    <w:name w:val="List Bullet"/>
    <w:basedOn w:val="Normal"/>
    <w:uiPriority w:val="99"/>
    <w:unhideWhenUsed/>
    <w:qFormat/>
    <w:rsid w:val="00190F64"/>
    <w:pPr>
      <w:numPr>
        <w:numId w:val="6"/>
      </w:numPr>
      <w:contextualSpacing/>
    </w:pPr>
  </w:style>
  <w:style w:type="paragraph" w:styleId="ListNumber">
    <w:name w:val="List Number"/>
    <w:basedOn w:val="Normal"/>
    <w:uiPriority w:val="99"/>
    <w:unhideWhenUsed/>
    <w:qFormat/>
    <w:rsid w:val="00190F64"/>
    <w:pPr>
      <w:numPr>
        <w:numId w:val="11"/>
      </w:numPr>
      <w:contextualSpacing/>
    </w:pPr>
  </w:style>
  <w:style w:type="character" w:customStyle="1" w:styleId="Heading4Char">
    <w:name w:val="Heading 4 Char"/>
    <w:basedOn w:val="DefaultParagraphFont"/>
    <w:link w:val="Heading4"/>
    <w:uiPriority w:val="9"/>
    <w:rsid w:val="00950A21"/>
    <w:rPr>
      <w:rFonts w:ascii="HK Grotesk" w:eastAsiaTheme="majorEastAsia" w:hAnsi="HK Grotesk" w:cs="Times New Roman (CS-rubriker)"/>
      <w:b/>
      <w:bCs/>
      <w:caps/>
      <w:color w:val="000000"/>
      <w:sz w:val="20"/>
      <w:szCs w:val="20"/>
    </w:rPr>
  </w:style>
  <w:style w:type="paragraph" w:customStyle="1" w:styleId="Fotter">
    <w:name w:val="Fotter"/>
    <w:qFormat/>
    <w:rsid w:val="002B2C01"/>
    <w:pPr>
      <w:spacing w:line="288" w:lineRule="auto"/>
      <w:jc w:val="right"/>
    </w:pPr>
    <w:rPr>
      <w:rFonts w:ascii="HK Grotesk" w:hAnsi="HK Grotesk" w:cs="HK Grotesk"/>
      <w:color w:val="666666"/>
      <w:sz w:val="14"/>
      <w:szCs w:val="14"/>
    </w:rPr>
  </w:style>
  <w:style w:type="character" w:customStyle="1" w:styleId="Heading1Char">
    <w:name w:val="Heading 1 Char"/>
    <w:aliases w:val="Title Char"/>
    <w:basedOn w:val="DefaultParagraphFont"/>
    <w:link w:val="Heading1"/>
    <w:uiPriority w:val="9"/>
    <w:rsid w:val="00630777"/>
    <w:rPr>
      <w:rFonts w:ascii="HK Grotesk SemiBold" w:eastAsiaTheme="majorEastAsia" w:hAnsi="HK Grotesk SemiBold" w:cstheme="majorBidi"/>
      <w:spacing w:val="-10"/>
      <w:kern w:val="28"/>
      <w:sz w:val="80"/>
      <w:szCs w:val="56"/>
    </w:rPr>
  </w:style>
  <w:style w:type="table" w:styleId="TableGrid">
    <w:name w:val="Table Grid"/>
    <w:basedOn w:val="TableNormal"/>
    <w:uiPriority w:val="39"/>
    <w:rsid w:val="00673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73757"/>
    <w:tblPr>
      <w:tblStyleRowBandSize w:val="1"/>
      <w:tblStyleColBandSize w:val="1"/>
      <w:tblBorders>
        <w:top w:val="single" w:sz="4" w:space="0" w:color="888888" w:themeColor="text1" w:themeTint="80"/>
        <w:bottom w:val="single" w:sz="4" w:space="0" w:color="888888" w:themeColor="text1" w:themeTint="80"/>
      </w:tblBorders>
    </w:tblPr>
    <w:tblStylePr w:type="firstRow">
      <w:rPr>
        <w:b/>
        <w:bCs/>
      </w:rPr>
      <w:tblPr/>
      <w:tcPr>
        <w:tcBorders>
          <w:bottom w:val="single" w:sz="4" w:space="0" w:color="888888" w:themeColor="text1" w:themeTint="80"/>
        </w:tcBorders>
      </w:tcPr>
    </w:tblStylePr>
    <w:tblStylePr w:type="lastRow">
      <w:rPr>
        <w:b/>
        <w:bCs/>
      </w:rPr>
      <w:tblPr/>
      <w:tcPr>
        <w:tcBorders>
          <w:top w:val="single" w:sz="4" w:space="0" w:color="888888" w:themeColor="text1" w:themeTint="80"/>
        </w:tcBorders>
      </w:tcPr>
    </w:tblStylePr>
    <w:tblStylePr w:type="firstCol">
      <w:rPr>
        <w:b/>
        <w:bCs/>
      </w:rPr>
    </w:tblStylePr>
    <w:tblStylePr w:type="lastCol">
      <w:rPr>
        <w:b/>
        <w:bCs/>
      </w:rPr>
    </w:tblStylePr>
    <w:tblStylePr w:type="band1Vert">
      <w:tblPr/>
      <w:tcPr>
        <w:tcBorders>
          <w:left w:val="single" w:sz="4" w:space="0" w:color="888888" w:themeColor="text1" w:themeTint="80"/>
          <w:right w:val="single" w:sz="4" w:space="0" w:color="888888" w:themeColor="text1" w:themeTint="80"/>
        </w:tcBorders>
      </w:tcPr>
    </w:tblStylePr>
    <w:tblStylePr w:type="band2Vert">
      <w:tblPr/>
      <w:tcPr>
        <w:tcBorders>
          <w:left w:val="single" w:sz="4" w:space="0" w:color="888888" w:themeColor="text1" w:themeTint="80"/>
          <w:right w:val="single" w:sz="4" w:space="0" w:color="888888" w:themeColor="text1" w:themeTint="80"/>
        </w:tcBorders>
      </w:tcPr>
    </w:tblStylePr>
    <w:tblStylePr w:type="band1Horz">
      <w:tblPr/>
      <w:tcPr>
        <w:tcBorders>
          <w:top w:val="single" w:sz="4" w:space="0" w:color="888888" w:themeColor="text1" w:themeTint="80"/>
          <w:bottom w:val="single" w:sz="4" w:space="0" w:color="888888" w:themeColor="text1" w:themeTint="80"/>
        </w:tcBorders>
      </w:tcPr>
    </w:tblStylePr>
  </w:style>
  <w:style w:type="table" w:styleId="PlainTable3">
    <w:name w:val="Plain Table 3"/>
    <w:basedOn w:val="TableNormal"/>
    <w:uiPriority w:val="43"/>
    <w:rsid w:val="00311F0A"/>
    <w:tblPr>
      <w:tblStyleRowBandSize w:val="1"/>
      <w:tblStyleColBandSize w:val="1"/>
    </w:tblPr>
    <w:tblStylePr w:type="firstRow">
      <w:rPr>
        <w:b/>
        <w:bCs/>
        <w:caps/>
      </w:rPr>
      <w:tblPr/>
      <w:tcPr>
        <w:tcBorders>
          <w:bottom w:val="single" w:sz="4" w:space="0" w:color="88888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888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1"/>
    <w:uiPriority w:val="10"/>
    <w:rsid w:val="0063077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1">
    <w:name w:val="Title Char1"/>
    <w:basedOn w:val="DefaultParagraphFont"/>
    <w:link w:val="Title"/>
    <w:uiPriority w:val="10"/>
    <w:rsid w:val="0063077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D624D"/>
    <w:rPr>
      <w:color w:val="2175D4" w:themeColor="hyperlink"/>
      <w:u w:val="single"/>
    </w:rPr>
  </w:style>
  <w:style w:type="character" w:styleId="UnresolvedMention">
    <w:name w:val="Unresolved Mention"/>
    <w:basedOn w:val="DefaultParagraphFont"/>
    <w:uiPriority w:val="99"/>
    <w:semiHidden/>
    <w:unhideWhenUsed/>
    <w:rsid w:val="001D624D"/>
    <w:rPr>
      <w:color w:val="605E5C"/>
      <w:shd w:val="clear" w:color="auto" w:fill="E1DFDD"/>
    </w:rPr>
  </w:style>
  <w:style w:type="character" w:styleId="FollowedHyperlink">
    <w:name w:val="FollowedHyperlink"/>
    <w:basedOn w:val="DefaultParagraphFont"/>
    <w:uiPriority w:val="99"/>
    <w:semiHidden/>
    <w:unhideWhenUsed/>
    <w:rsid w:val="001D624D"/>
    <w:rPr>
      <w:color w:val="1A5CA7" w:themeColor="followedHyperlink"/>
      <w:u w:val="single"/>
    </w:rPr>
  </w:style>
  <w:style w:type="table" w:styleId="GridTable5Dark-Accent4">
    <w:name w:val="Grid Table 5 Dark Accent 4"/>
    <w:basedOn w:val="TableNormal"/>
    <w:uiPriority w:val="50"/>
    <w:rsid w:val="001F11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6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B5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B5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B5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B59B" w:themeFill="accent4"/>
      </w:tcPr>
    </w:tblStylePr>
    <w:tblStylePr w:type="band1Vert">
      <w:tblPr/>
      <w:tcPr>
        <w:shd w:val="clear" w:color="auto" w:fill="98EEDF" w:themeFill="accent4" w:themeFillTint="66"/>
      </w:tcPr>
    </w:tblStylePr>
    <w:tblStylePr w:type="band1Horz">
      <w:tblPr/>
      <w:tcPr>
        <w:shd w:val="clear" w:color="auto" w:fill="98EEDF" w:themeFill="accent4" w:themeFillTint="66"/>
      </w:tcPr>
    </w:tblStylePr>
  </w:style>
  <w:style w:type="paragraph" w:styleId="Revision">
    <w:name w:val="Revision"/>
    <w:hidden/>
    <w:uiPriority w:val="99"/>
    <w:semiHidden/>
    <w:rsid w:val="0055433D"/>
    <w:rPr>
      <w:rFonts w:ascii="HK Grotesk" w:hAnsi="HK Grotesk" w:cs="HK Grotesk"/>
      <w:color w:val="000000"/>
      <w:sz w:val="20"/>
      <w:szCs w:val="20"/>
    </w:rPr>
  </w:style>
  <w:style w:type="paragraph" w:styleId="NormalWeb">
    <w:name w:val="Normal (Web)"/>
    <w:basedOn w:val="Normal"/>
    <w:uiPriority w:val="99"/>
    <w:semiHidden/>
    <w:unhideWhenUsed/>
    <w:rsid w:val="00A75166"/>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28641">
      <w:bodyDiv w:val="1"/>
      <w:marLeft w:val="0"/>
      <w:marRight w:val="0"/>
      <w:marTop w:val="0"/>
      <w:marBottom w:val="0"/>
      <w:divBdr>
        <w:top w:val="none" w:sz="0" w:space="0" w:color="auto"/>
        <w:left w:val="none" w:sz="0" w:space="0" w:color="auto"/>
        <w:bottom w:val="none" w:sz="0" w:space="0" w:color="auto"/>
        <w:right w:val="none" w:sz="0" w:space="0" w:color="auto"/>
      </w:divBdr>
    </w:div>
    <w:div w:id="296762082">
      <w:bodyDiv w:val="1"/>
      <w:marLeft w:val="0"/>
      <w:marRight w:val="0"/>
      <w:marTop w:val="0"/>
      <w:marBottom w:val="0"/>
      <w:divBdr>
        <w:top w:val="none" w:sz="0" w:space="0" w:color="auto"/>
        <w:left w:val="none" w:sz="0" w:space="0" w:color="auto"/>
        <w:bottom w:val="none" w:sz="0" w:space="0" w:color="auto"/>
        <w:right w:val="none" w:sz="0" w:space="0" w:color="auto"/>
      </w:divBdr>
    </w:div>
    <w:div w:id="334497172">
      <w:bodyDiv w:val="1"/>
      <w:marLeft w:val="0"/>
      <w:marRight w:val="0"/>
      <w:marTop w:val="0"/>
      <w:marBottom w:val="0"/>
      <w:divBdr>
        <w:top w:val="none" w:sz="0" w:space="0" w:color="auto"/>
        <w:left w:val="none" w:sz="0" w:space="0" w:color="auto"/>
        <w:bottom w:val="none" w:sz="0" w:space="0" w:color="auto"/>
        <w:right w:val="none" w:sz="0" w:space="0" w:color="auto"/>
      </w:divBdr>
    </w:div>
    <w:div w:id="375087963">
      <w:bodyDiv w:val="1"/>
      <w:marLeft w:val="0"/>
      <w:marRight w:val="0"/>
      <w:marTop w:val="0"/>
      <w:marBottom w:val="0"/>
      <w:divBdr>
        <w:top w:val="none" w:sz="0" w:space="0" w:color="auto"/>
        <w:left w:val="none" w:sz="0" w:space="0" w:color="auto"/>
        <w:bottom w:val="none" w:sz="0" w:space="0" w:color="auto"/>
        <w:right w:val="none" w:sz="0" w:space="0" w:color="auto"/>
      </w:divBdr>
    </w:div>
    <w:div w:id="623190964">
      <w:bodyDiv w:val="1"/>
      <w:marLeft w:val="0"/>
      <w:marRight w:val="0"/>
      <w:marTop w:val="0"/>
      <w:marBottom w:val="0"/>
      <w:divBdr>
        <w:top w:val="none" w:sz="0" w:space="0" w:color="auto"/>
        <w:left w:val="none" w:sz="0" w:space="0" w:color="auto"/>
        <w:bottom w:val="none" w:sz="0" w:space="0" w:color="auto"/>
        <w:right w:val="none" w:sz="0" w:space="0" w:color="auto"/>
      </w:divBdr>
    </w:div>
    <w:div w:id="1319463125">
      <w:bodyDiv w:val="1"/>
      <w:marLeft w:val="0"/>
      <w:marRight w:val="0"/>
      <w:marTop w:val="0"/>
      <w:marBottom w:val="0"/>
      <w:divBdr>
        <w:top w:val="none" w:sz="0" w:space="0" w:color="auto"/>
        <w:left w:val="none" w:sz="0" w:space="0" w:color="auto"/>
        <w:bottom w:val="none" w:sz="0" w:space="0" w:color="auto"/>
        <w:right w:val="none" w:sz="0" w:space="0" w:color="auto"/>
      </w:divBdr>
    </w:div>
    <w:div w:id="1373535080">
      <w:bodyDiv w:val="1"/>
      <w:marLeft w:val="0"/>
      <w:marRight w:val="0"/>
      <w:marTop w:val="0"/>
      <w:marBottom w:val="0"/>
      <w:divBdr>
        <w:top w:val="none" w:sz="0" w:space="0" w:color="auto"/>
        <w:left w:val="none" w:sz="0" w:space="0" w:color="auto"/>
        <w:bottom w:val="none" w:sz="0" w:space="0" w:color="auto"/>
        <w:right w:val="none" w:sz="0" w:space="0" w:color="auto"/>
      </w:divBdr>
    </w:div>
    <w:div w:id="1538541948">
      <w:bodyDiv w:val="1"/>
      <w:marLeft w:val="0"/>
      <w:marRight w:val="0"/>
      <w:marTop w:val="0"/>
      <w:marBottom w:val="0"/>
      <w:divBdr>
        <w:top w:val="none" w:sz="0" w:space="0" w:color="auto"/>
        <w:left w:val="none" w:sz="0" w:space="0" w:color="auto"/>
        <w:bottom w:val="none" w:sz="0" w:space="0" w:color="auto"/>
        <w:right w:val="none" w:sz="0" w:space="0" w:color="auto"/>
      </w:divBdr>
    </w:div>
    <w:div w:id="2045598769">
      <w:bodyDiv w:val="1"/>
      <w:marLeft w:val="0"/>
      <w:marRight w:val="0"/>
      <w:marTop w:val="0"/>
      <w:marBottom w:val="0"/>
      <w:divBdr>
        <w:top w:val="none" w:sz="0" w:space="0" w:color="auto"/>
        <w:left w:val="none" w:sz="0" w:space="0" w:color="auto"/>
        <w:bottom w:val="none" w:sz="0" w:space="0" w:color="auto"/>
        <w:right w:val="none" w:sz="0" w:space="0" w:color="auto"/>
      </w:divBdr>
    </w:div>
    <w:div w:id="214237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www.fcgfonder.se" TargetMode="External"/><Relationship Id="rId1" Type="http://schemas.openxmlformats.org/officeDocument/2006/relationships/hyperlink" Target="http://www.fcgfonder.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FCG">
      <a:dk1>
        <a:srgbClr val="131313"/>
      </a:dk1>
      <a:lt1>
        <a:sysClr val="window" lastClr="FFFFFF"/>
      </a:lt1>
      <a:dk2>
        <a:srgbClr val="666666"/>
      </a:dk2>
      <a:lt2>
        <a:srgbClr val="F5F5F5"/>
      </a:lt2>
      <a:accent1>
        <a:srgbClr val="0B2747"/>
      </a:accent1>
      <a:accent2>
        <a:srgbClr val="004C42"/>
      </a:accent2>
      <a:accent3>
        <a:srgbClr val="C64860"/>
      </a:accent3>
      <a:accent4>
        <a:srgbClr val="1EB59B"/>
      </a:accent4>
      <a:accent5>
        <a:srgbClr val="FCD7D7"/>
      </a:accent5>
      <a:accent6>
        <a:srgbClr val="1A5CA7"/>
      </a:accent6>
      <a:hlink>
        <a:srgbClr val="2175D4"/>
      </a:hlink>
      <a:folHlink>
        <a:srgbClr val="1A5CA7"/>
      </a:folHlink>
    </a:clrScheme>
    <a:fontScheme name="Anpassat 3">
      <a:majorFont>
        <a:latin typeface="HK Grotesk SemiBold"/>
        <a:ea typeface=""/>
        <a:cs typeface=""/>
      </a:majorFont>
      <a:minorFont>
        <a:latin typeface="H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3AFA043F4D4641A1A7AB9F9B1E7DF8" ma:contentTypeVersion="4" ma:contentTypeDescription="Create a new document." ma:contentTypeScope="" ma:versionID="d1b386a1cbfb2a3fa69892fdb67feb79">
  <xsd:schema xmlns:xsd="http://www.w3.org/2001/XMLSchema" xmlns:xs="http://www.w3.org/2001/XMLSchema" xmlns:p="http://schemas.microsoft.com/office/2006/metadata/properties" xmlns:ns2="49d83828-47de-4cb4-8d91-1fb630a1ea11" xmlns:ns3="e674266b-dd4d-4755-9cee-eeeb03b47e6f" targetNamespace="http://schemas.microsoft.com/office/2006/metadata/properties" ma:root="true" ma:fieldsID="216dee3db697d24693c791434064df92" ns2:_="" ns3:_="">
    <xsd:import namespace="49d83828-47de-4cb4-8d91-1fb630a1ea11"/>
    <xsd:import namespace="e674266b-dd4d-4755-9cee-eeeb03b47e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83828-47de-4cb4-8d91-1fb630a1e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74266b-dd4d-4755-9cee-eeeb03b47e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8A7C8-7EB7-4515-A0A6-0C62C4095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253D68-4AA4-4846-B27E-8FC82ED3C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83828-47de-4cb4-8d91-1fb630a1ea11"/>
    <ds:schemaRef ds:uri="e674266b-dd4d-4755-9cee-eeeb03b47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27ECF0-DCC9-A548-A37A-18BB2189828D}">
  <ds:schemaRefs>
    <ds:schemaRef ds:uri="http://schemas.openxmlformats.org/officeDocument/2006/bibliography"/>
  </ds:schemaRefs>
</ds:datastoreItem>
</file>

<file path=customXml/itemProps4.xml><?xml version="1.0" encoding="utf-8"?>
<ds:datastoreItem xmlns:ds="http://schemas.openxmlformats.org/officeDocument/2006/customXml" ds:itemID="{3AE8FD0D-D36D-4749-A290-93DD79F884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1352</Words>
  <Characters>7708</Characters>
  <Application>Microsoft Office Word</Application>
  <DocSecurity>0</DocSecurity>
  <Lines>64</Lines>
  <Paragraphs>18</Paragraphs>
  <ScaleCrop>false</ScaleCrop>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Reinholdsson</dc:creator>
  <cp:keywords/>
  <dc:description/>
  <cp:lastModifiedBy>Tobias Olsson</cp:lastModifiedBy>
  <cp:revision>18</cp:revision>
  <dcterms:created xsi:type="dcterms:W3CDTF">2025-02-14T13:46:00Z</dcterms:created>
  <dcterms:modified xsi:type="dcterms:W3CDTF">2025-02-14T13:48:00Z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958cf3-37aa-4880-9c77-3ec03f04c10d_Enabled">
    <vt:lpwstr>true</vt:lpwstr>
  </property>
  <property fmtid="{D5CDD505-2E9C-101B-9397-08002B2CF9AE}" pid="3" name="MSIP_Label_c0958cf3-37aa-4880-9c77-3ec03f04c10d_SetDate">
    <vt:lpwstr>2021-10-12T09:54:54Z</vt:lpwstr>
  </property>
  <property fmtid="{D5CDD505-2E9C-101B-9397-08002B2CF9AE}" pid="4" name="MSIP_Label_c0958cf3-37aa-4880-9c77-3ec03f04c10d_Method">
    <vt:lpwstr>Standard</vt:lpwstr>
  </property>
  <property fmtid="{D5CDD505-2E9C-101B-9397-08002B2CF9AE}" pid="5" name="MSIP_Label_c0958cf3-37aa-4880-9c77-3ec03f04c10d_Name">
    <vt:lpwstr>c0958cf3-37aa-4880-9c77-3ec03f04c10d</vt:lpwstr>
  </property>
  <property fmtid="{D5CDD505-2E9C-101B-9397-08002B2CF9AE}" pid="6" name="MSIP_Label_c0958cf3-37aa-4880-9c77-3ec03f04c10d_SiteId">
    <vt:lpwstr>f57ff8de-4665-4e43-aa05-a46cd1bfad9b</vt:lpwstr>
  </property>
  <property fmtid="{D5CDD505-2E9C-101B-9397-08002B2CF9AE}" pid="7" name="MSIP_Label_c0958cf3-37aa-4880-9c77-3ec03f04c10d_ActionId">
    <vt:lpwstr>66dba001-0aff-4958-a16c-147420ea3564</vt:lpwstr>
  </property>
  <property fmtid="{D5CDD505-2E9C-101B-9397-08002B2CF9AE}" pid="8" name="MSIP_Label_c0958cf3-37aa-4880-9c77-3ec03f04c10d_ContentBits">
    <vt:lpwstr>0</vt:lpwstr>
  </property>
  <property fmtid="{D5CDD505-2E9C-101B-9397-08002B2CF9AE}" pid="9" name="ContentTypeId">
    <vt:lpwstr>0x010100703AFA043F4D4641A1A7AB9F9B1E7DF8</vt:lpwstr>
  </property>
</Properties>
</file>